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E803" w14:textId="77777777" w:rsidR="00E511ED" w:rsidRDefault="00E511ED" w:rsidP="00EE2403">
      <w:pPr>
        <w:rPr>
          <w:sz w:val="52"/>
          <w:szCs w:val="40"/>
        </w:rPr>
      </w:pPr>
      <w:bookmarkStart w:id="0" w:name="_Toc131585356"/>
      <w:bookmarkStart w:id="1" w:name="_Toc128143884"/>
      <w:bookmarkStart w:id="2" w:name="_Toc128660335"/>
      <w:bookmarkStart w:id="3" w:name="_Toc129166502"/>
      <w:bookmarkStart w:id="4" w:name="_Toc129166925"/>
      <w:bookmarkStart w:id="5" w:name="_Toc128143898"/>
      <w:bookmarkStart w:id="6" w:name="_Toc128660349"/>
      <w:bookmarkStart w:id="7" w:name="_Toc129166517"/>
      <w:bookmarkStart w:id="8" w:name="_Toc129166940"/>
      <w:bookmarkStart w:id="9" w:name="_Toc128143902"/>
      <w:bookmarkStart w:id="10" w:name="_Toc128660353"/>
      <w:bookmarkStart w:id="11" w:name="_Toc129166521"/>
      <w:bookmarkStart w:id="12" w:name="_Toc129166944"/>
    </w:p>
    <w:bookmarkEnd w:id="0"/>
    <w:p w14:paraId="330787A0" w14:textId="1AD9EB0E" w:rsidR="00836C85" w:rsidRPr="00E511ED" w:rsidRDefault="00E511ED" w:rsidP="00836C85">
      <w:pPr>
        <w:rPr>
          <w:b/>
          <w:bCs/>
          <w:sz w:val="50"/>
          <w:szCs w:val="50"/>
        </w:rPr>
      </w:pPr>
      <w:r w:rsidRPr="00E511ED">
        <w:rPr>
          <w:b/>
          <w:bCs/>
          <w:sz w:val="50"/>
          <w:szCs w:val="50"/>
        </w:rPr>
        <w:t>Education provision for children and young people with vision impairment in Northern Ireland, 202</w:t>
      </w:r>
      <w:r w:rsidR="00B113DC">
        <w:rPr>
          <w:b/>
          <w:bCs/>
          <w:sz w:val="50"/>
          <w:szCs w:val="50"/>
        </w:rPr>
        <w:t>3</w:t>
      </w:r>
    </w:p>
    <w:p w14:paraId="43A72760" w14:textId="7E9E54FA" w:rsidR="00836C85" w:rsidRDefault="00836C85" w:rsidP="00836C85"/>
    <w:p w14:paraId="1B2F097D" w14:textId="768BADE3" w:rsidR="00836C85" w:rsidRDefault="00836C85" w:rsidP="00836C85"/>
    <w:p w14:paraId="679AE77B" w14:textId="3CAF4A00" w:rsidR="00836C85" w:rsidRDefault="00836C85" w:rsidP="00836C85"/>
    <w:p w14:paraId="2BB6C68E" w14:textId="1DEC0649" w:rsidR="00836C85" w:rsidRDefault="00836C85" w:rsidP="00836C85"/>
    <w:p w14:paraId="02B9EA0D" w14:textId="3154ABCC" w:rsidR="00836C85" w:rsidRDefault="00836C85" w:rsidP="00836C85"/>
    <w:p w14:paraId="184F77FF" w14:textId="3BBB35AC" w:rsidR="00836C85" w:rsidRDefault="00836C85" w:rsidP="00836C85"/>
    <w:p w14:paraId="1806DEA1" w14:textId="13697E40" w:rsidR="00836C85" w:rsidRDefault="00836C85" w:rsidP="00836C85"/>
    <w:p w14:paraId="019BD9FB" w14:textId="530632EC" w:rsidR="00836C85" w:rsidRDefault="00836C85" w:rsidP="00836C85"/>
    <w:p w14:paraId="2FDC5F2E" w14:textId="343C25AD" w:rsidR="00836C85" w:rsidRDefault="00836C85" w:rsidP="00836C85"/>
    <w:p w14:paraId="027E4002" w14:textId="406A3E41" w:rsidR="00836C85" w:rsidRDefault="00836C85" w:rsidP="00836C85"/>
    <w:p w14:paraId="46E31FED" w14:textId="124CAF8D" w:rsidR="00836C85" w:rsidRDefault="00836C85" w:rsidP="00836C85"/>
    <w:p w14:paraId="22F76FA5" w14:textId="0982C1FF" w:rsidR="00836C85" w:rsidRDefault="00836C85" w:rsidP="00836C85"/>
    <w:p w14:paraId="7858F7D3" w14:textId="7C3A1CCA" w:rsidR="00836C85" w:rsidRDefault="00836C85" w:rsidP="00836C85"/>
    <w:p w14:paraId="5C6F5975" w14:textId="36C7C2E2" w:rsidR="00836C85" w:rsidRDefault="00836C85" w:rsidP="00836C85"/>
    <w:p w14:paraId="288C28BA" w14:textId="24032C22" w:rsidR="00836C85" w:rsidRDefault="00836C85" w:rsidP="00836C85"/>
    <w:p w14:paraId="28C0CF8C" w14:textId="07E6F45F" w:rsidR="00836C85" w:rsidRDefault="00836C85" w:rsidP="00836C85"/>
    <w:p w14:paraId="42399111" w14:textId="0C51C8E8" w:rsidR="00836C85" w:rsidRDefault="00836C85" w:rsidP="00836C85"/>
    <w:p w14:paraId="38951485" w14:textId="4A40FA8C" w:rsidR="00E511ED" w:rsidRDefault="00E511ED" w:rsidP="00836C85"/>
    <w:p w14:paraId="39D8AA98" w14:textId="77777777" w:rsidR="00E511ED" w:rsidRDefault="00E511ED" w:rsidP="00836C85"/>
    <w:p w14:paraId="0D822A1A" w14:textId="5595DD8B" w:rsidR="00836C85" w:rsidRDefault="00836C85" w:rsidP="00836C85"/>
    <w:p w14:paraId="542DC337" w14:textId="77777777" w:rsidR="00EA295C" w:rsidRDefault="00EA295C" w:rsidP="00836C85"/>
    <w:p w14:paraId="75520FD9" w14:textId="77777777" w:rsidR="00EA295C" w:rsidRDefault="00EA295C" w:rsidP="00836C85"/>
    <w:p w14:paraId="200440F3" w14:textId="77777777" w:rsidR="00EA295C" w:rsidRDefault="00EA295C" w:rsidP="00836C85"/>
    <w:p w14:paraId="7160FCE1" w14:textId="4DD848AD" w:rsidR="00836C85" w:rsidRPr="00EE2403" w:rsidRDefault="00836C85" w:rsidP="005E5521">
      <w:pPr>
        <w:spacing w:after="240"/>
        <w:rPr>
          <w:b/>
          <w:bCs/>
          <w:sz w:val="32"/>
          <w:szCs w:val="22"/>
        </w:rPr>
      </w:pPr>
      <w:r w:rsidRPr="00EE2403">
        <w:rPr>
          <w:b/>
          <w:bCs/>
          <w:sz w:val="32"/>
          <w:szCs w:val="22"/>
        </w:rPr>
        <w:t>April 202</w:t>
      </w:r>
      <w:r w:rsidR="00B113DC">
        <w:rPr>
          <w:b/>
          <w:bCs/>
          <w:sz w:val="32"/>
          <w:szCs w:val="22"/>
        </w:rPr>
        <w:t>4</w:t>
      </w:r>
    </w:p>
    <w:p w14:paraId="52B38427" w14:textId="197E8041" w:rsidR="00836C85" w:rsidRPr="00EE2403" w:rsidRDefault="00836C85" w:rsidP="00836C85">
      <w:pPr>
        <w:rPr>
          <w:sz w:val="32"/>
          <w:szCs w:val="22"/>
        </w:rPr>
      </w:pPr>
      <w:r w:rsidRPr="00EE2403">
        <w:rPr>
          <w:sz w:val="32"/>
          <w:szCs w:val="22"/>
        </w:rPr>
        <w:t>Research and Insight Team</w:t>
      </w:r>
      <w:r w:rsidR="00930229">
        <w:rPr>
          <w:sz w:val="32"/>
          <w:szCs w:val="22"/>
        </w:rPr>
        <w:t>, RNIB</w:t>
      </w:r>
    </w:p>
    <w:p w14:paraId="238A6747" w14:textId="3B818D8C" w:rsidR="00836C85" w:rsidRPr="00EE2403" w:rsidRDefault="00836C85" w:rsidP="5226E9E1">
      <w:pPr>
        <w:spacing w:after="240"/>
        <w:rPr>
          <w:sz w:val="32"/>
          <w:szCs w:val="32"/>
        </w:rPr>
      </w:pPr>
      <w:r w:rsidRPr="02932B94">
        <w:rPr>
          <w:sz w:val="32"/>
          <w:szCs w:val="32"/>
        </w:rPr>
        <w:t>CYPF and Education</w:t>
      </w:r>
      <w:r w:rsidR="005E5521" w:rsidRPr="02932B94">
        <w:rPr>
          <w:sz w:val="32"/>
          <w:szCs w:val="32"/>
        </w:rPr>
        <w:t xml:space="preserve"> Team</w:t>
      </w:r>
      <w:r w:rsidR="00930229" w:rsidRPr="02932B94">
        <w:rPr>
          <w:sz w:val="32"/>
          <w:szCs w:val="32"/>
        </w:rPr>
        <w:t>, RNIB</w:t>
      </w:r>
      <w:r>
        <w:br/>
      </w:r>
      <w:r w:rsidRPr="02932B94">
        <w:rPr>
          <w:sz w:val="32"/>
          <w:szCs w:val="32"/>
        </w:rPr>
        <w:t>RNIB Northern Ireland</w:t>
      </w:r>
      <w:r w:rsidR="005E5521" w:rsidRPr="02932B94">
        <w:rPr>
          <w:sz w:val="32"/>
          <w:szCs w:val="32"/>
        </w:rPr>
        <w:t xml:space="preserve"> Team</w:t>
      </w:r>
      <w:r w:rsidR="4FC3251F" w:rsidRPr="5366615E">
        <w:rPr>
          <w:sz w:val="32"/>
          <w:szCs w:val="32"/>
        </w:rPr>
        <w:t xml:space="preserve"> </w:t>
      </w:r>
    </w:p>
    <w:p w14:paraId="289A5834" w14:textId="77777777" w:rsidR="007317FE" w:rsidRDefault="007317FE" w:rsidP="005E5521">
      <w:pPr>
        <w:spacing w:after="240"/>
        <w:rPr>
          <w:b/>
          <w:bCs/>
          <w:sz w:val="40"/>
          <w:szCs w:val="40"/>
        </w:rPr>
      </w:pPr>
    </w:p>
    <w:p w14:paraId="638C84CB" w14:textId="77777777" w:rsidR="00836C85" w:rsidRDefault="00836C85" w:rsidP="005E5521">
      <w:pPr>
        <w:spacing w:after="240"/>
        <w:rPr>
          <w:b/>
          <w:bCs/>
          <w:sz w:val="40"/>
          <w:szCs w:val="40"/>
        </w:rPr>
      </w:pPr>
    </w:p>
    <w:p w14:paraId="41BF403E" w14:textId="11B50E40" w:rsidR="00836C85" w:rsidRPr="005E5521" w:rsidRDefault="00836C85" w:rsidP="005E5521">
      <w:pPr>
        <w:spacing w:after="240"/>
        <w:rPr>
          <w:sz w:val="2"/>
          <w:szCs w:val="2"/>
        </w:rPr>
      </w:pPr>
      <w:bookmarkStart w:id="13" w:name="_Toc131585357"/>
      <w:bookmarkStart w:id="14" w:name="_Toc131588652"/>
      <w:r w:rsidRPr="005E5521">
        <w:rPr>
          <w:b/>
          <w:bCs/>
          <w:sz w:val="40"/>
          <w:szCs w:val="40"/>
        </w:rPr>
        <w:lastRenderedPageBreak/>
        <w:t>Contents</w:t>
      </w:r>
      <w:bookmarkEnd w:id="13"/>
      <w:bookmarkEnd w:id="14"/>
      <w:r w:rsidRPr="005E5521">
        <w:rPr>
          <w:sz w:val="2"/>
          <w:szCs w:val="2"/>
        </w:rPr>
        <w:fldChar w:fldCharType="begin"/>
      </w:r>
      <w:r w:rsidRPr="005E5521">
        <w:rPr>
          <w:sz w:val="2"/>
          <w:szCs w:val="2"/>
        </w:rPr>
        <w:instrText xml:space="preserve"> TOC \o "1-3" \h \z \u </w:instrText>
      </w:r>
      <w:r w:rsidRPr="005E5521">
        <w:rPr>
          <w:sz w:val="2"/>
          <w:szCs w:val="2"/>
        </w:rPr>
        <w:fldChar w:fldCharType="separate"/>
      </w:r>
    </w:p>
    <w:p w14:paraId="209AC9FF" w14:textId="77777777" w:rsidR="00E511ED" w:rsidRPr="00E511ED" w:rsidRDefault="00836C85" w:rsidP="005E5521">
      <w:pPr>
        <w:rPr>
          <w:sz w:val="2"/>
          <w:szCs w:val="2"/>
        </w:rPr>
      </w:pPr>
      <w:r w:rsidRPr="005E5521">
        <w:rPr>
          <w:sz w:val="2"/>
          <w:szCs w:val="2"/>
        </w:rPr>
        <w:fldChar w:fldCharType="end"/>
      </w:r>
    </w:p>
    <w:sdt>
      <w:sdtPr>
        <w:id w:val="1851751968"/>
        <w:docPartObj>
          <w:docPartGallery w:val="Table of Contents"/>
          <w:docPartUnique/>
        </w:docPartObj>
      </w:sdtPr>
      <w:sdtEndPr/>
      <w:sdtContent>
        <w:p w14:paraId="409C3E7A" w14:textId="3154AD3F" w:rsidR="00D4674C" w:rsidRDefault="00E511ED">
          <w:pPr>
            <w:pStyle w:val="TOC1"/>
            <w:rPr>
              <w:rStyle w:val="Hyperlink"/>
              <w:rFonts w:eastAsiaTheme="minorEastAsia"/>
              <w:lang w:eastAsia="en-GB"/>
            </w:rPr>
          </w:pPr>
          <w:r>
            <w:fldChar w:fldCharType="begin"/>
          </w:r>
          <w:r>
            <w:instrText xml:space="preserve"> TOC \o "1-3" \h \z \u </w:instrText>
          </w:r>
          <w:r>
            <w:fldChar w:fldCharType="separate"/>
          </w:r>
          <w:hyperlink w:anchor="_Toc1283228808">
            <w:r w:rsidR="6AECEF65" w:rsidRPr="6AECEF65">
              <w:rPr>
                <w:rStyle w:val="Hyperlink"/>
                <w:noProof/>
              </w:rPr>
              <w:t>Foreword</w:t>
            </w:r>
            <w:r>
              <w:rPr>
                <w:noProof/>
              </w:rPr>
              <w:tab/>
            </w:r>
            <w:r>
              <w:rPr>
                <w:noProof/>
              </w:rPr>
              <w:fldChar w:fldCharType="begin"/>
            </w:r>
            <w:r>
              <w:rPr>
                <w:noProof/>
              </w:rPr>
              <w:instrText>PAGEREF _Toc1283228808 \h</w:instrText>
            </w:r>
            <w:r>
              <w:rPr>
                <w:noProof/>
              </w:rPr>
            </w:r>
            <w:r>
              <w:rPr>
                <w:noProof/>
              </w:rPr>
              <w:fldChar w:fldCharType="separate"/>
            </w:r>
            <w:r w:rsidR="007317FE">
              <w:rPr>
                <w:noProof/>
              </w:rPr>
              <w:t>3</w:t>
            </w:r>
            <w:r>
              <w:rPr>
                <w:noProof/>
              </w:rPr>
              <w:fldChar w:fldCharType="end"/>
            </w:r>
          </w:hyperlink>
        </w:p>
        <w:p w14:paraId="4515AE74" w14:textId="188713C5" w:rsidR="00D4674C" w:rsidRDefault="007579BC">
          <w:pPr>
            <w:pStyle w:val="TOC1"/>
            <w:rPr>
              <w:rStyle w:val="Hyperlink"/>
              <w:rFonts w:eastAsiaTheme="minorEastAsia"/>
              <w:lang w:eastAsia="en-GB"/>
            </w:rPr>
          </w:pPr>
          <w:hyperlink w:anchor="_Toc153245067">
            <w:r w:rsidR="6AECEF65" w:rsidRPr="6AECEF65">
              <w:rPr>
                <w:rStyle w:val="Hyperlink"/>
                <w:noProof/>
              </w:rPr>
              <w:t>Glossary</w:t>
            </w:r>
            <w:r w:rsidR="00407E55">
              <w:rPr>
                <w:noProof/>
              </w:rPr>
              <w:tab/>
            </w:r>
            <w:r w:rsidR="00407E55">
              <w:rPr>
                <w:noProof/>
              </w:rPr>
              <w:fldChar w:fldCharType="begin"/>
            </w:r>
            <w:r w:rsidR="00407E55">
              <w:rPr>
                <w:noProof/>
              </w:rPr>
              <w:instrText>PAGEREF _Toc153245067 \h</w:instrText>
            </w:r>
            <w:r w:rsidR="00407E55">
              <w:rPr>
                <w:noProof/>
              </w:rPr>
            </w:r>
            <w:r w:rsidR="00407E55">
              <w:rPr>
                <w:noProof/>
              </w:rPr>
              <w:fldChar w:fldCharType="separate"/>
            </w:r>
            <w:r w:rsidR="007317FE">
              <w:rPr>
                <w:noProof/>
              </w:rPr>
              <w:t>4</w:t>
            </w:r>
            <w:r w:rsidR="00407E55">
              <w:rPr>
                <w:noProof/>
              </w:rPr>
              <w:fldChar w:fldCharType="end"/>
            </w:r>
          </w:hyperlink>
        </w:p>
        <w:p w14:paraId="6BD273B3" w14:textId="110E23CB" w:rsidR="00D4674C" w:rsidRDefault="007579BC">
          <w:pPr>
            <w:pStyle w:val="TOC1"/>
            <w:rPr>
              <w:rStyle w:val="Hyperlink"/>
              <w:rFonts w:eastAsiaTheme="minorEastAsia"/>
              <w:lang w:eastAsia="en-GB"/>
            </w:rPr>
          </w:pPr>
          <w:hyperlink w:anchor="_Toc866196835">
            <w:r w:rsidR="6AECEF65" w:rsidRPr="6AECEF65">
              <w:rPr>
                <w:rStyle w:val="Hyperlink"/>
                <w:noProof/>
              </w:rPr>
              <w:t>Executive Summary</w:t>
            </w:r>
            <w:r w:rsidR="00407E55">
              <w:rPr>
                <w:noProof/>
              </w:rPr>
              <w:tab/>
            </w:r>
            <w:r w:rsidR="00407E55">
              <w:rPr>
                <w:noProof/>
              </w:rPr>
              <w:fldChar w:fldCharType="begin"/>
            </w:r>
            <w:r w:rsidR="00407E55">
              <w:rPr>
                <w:noProof/>
              </w:rPr>
              <w:instrText>PAGEREF _Toc866196835 \h</w:instrText>
            </w:r>
            <w:r w:rsidR="00407E55">
              <w:rPr>
                <w:noProof/>
              </w:rPr>
            </w:r>
            <w:r w:rsidR="00407E55">
              <w:rPr>
                <w:noProof/>
              </w:rPr>
              <w:fldChar w:fldCharType="separate"/>
            </w:r>
            <w:r w:rsidR="007317FE">
              <w:rPr>
                <w:noProof/>
              </w:rPr>
              <w:t>5</w:t>
            </w:r>
            <w:r w:rsidR="00407E55">
              <w:rPr>
                <w:noProof/>
              </w:rPr>
              <w:fldChar w:fldCharType="end"/>
            </w:r>
          </w:hyperlink>
        </w:p>
        <w:p w14:paraId="03AD98E3" w14:textId="667FD133" w:rsidR="00D4674C" w:rsidRDefault="007579BC">
          <w:pPr>
            <w:pStyle w:val="TOC2"/>
            <w:rPr>
              <w:rStyle w:val="Hyperlink"/>
              <w:rFonts w:eastAsiaTheme="minorEastAsia"/>
              <w:lang w:eastAsia="en-GB"/>
            </w:rPr>
          </w:pPr>
          <w:hyperlink w:anchor="_Toc1461486106">
            <w:r w:rsidR="6AECEF65" w:rsidRPr="6AECEF65">
              <w:rPr>
                <w:rStyle w:val="Hyperlink"/>
                <w:noProof/>
              </w:rPr>
              <w:t>Key findings</w:t>
            </w:r>
            <w:r w:rsidR="00407E55">
              <w:rPr>
                <w:noProof/>
              </w:rPr>
              <w:tab/>
            </w:r>
            <w:r w:rsidR="00407E55">
              <w:rPr>
                <w:noProof/>
              </w:rPr>
              <w:fldChar w:fldCharType="begin"/>
            </w:r>
            <w:r w:rsidR="00407E55">
              <w:rPr>
                <w:noProof/>
              </w:rPr>
              <w:instrText>PAGEREF _Toc1461486106 \h</w:instrText>
            </w:r>
            <w:r w:rsidR="00407E55">
              <w:rPr>
                <w:noProof/>
              </w:rPr>
            </w:r>
            <w:r w:rsidR="00407E55">
              <w:rPr>
                <w:noProof/>
              </w:rPr>
              <w:fldChar w:fldCharType="separate"/>
            </w:r>
            <w:r w:rsidR="007317FE">
              <w:rPr>
                <w:noProof/>
              </w:rPr>
              <w:t>5</w:t>
            </w:r>
            <w:r w:rsidR="00407E55">
              <w:rPr>
                <w:noProof/>
              </w:rPr>
              <w:fldChar w:fldCharType="end"/>
            </w:r>
          </w:hyperlink>
        </w:p>
        <w:p w14:paraId="35CEDD82" w14:textId="5089830B" w:rsidR="00D4674C" w:rsidRDefault="007579BC">
          <w:pPr>
            <w:pStyle w:val="TOC1"/>
            <w:rPr>
              <w:rStyle w:val="Hyperlink"/>
              <w:rFonts w:eastAsiaTheme="minorEastAsia"/>
              <w:lang w:eastAsia="en-GB"/>
            </w:rPr>
          </w:pPr>
          <w:hyperlink w:anchor="_Toc1871924442">
            <w:r w:rsidR="6AECEF65" w:rsidRPr="6AECEF65">
              <w:rPr>
                <w:rStyle w:val="Hyperlink"/>
                <w:noProof/>
              </w:rPr>
              <w:t>1 Introduction</w:t>
            </w:r>
            <w:r w:rsidR="00407E55">
              <w:rPr>
                <w:noProof/>
              </w:rPr>
              <w:tab/>
            </w:r>
            <w:r w:rsidR="00407E55">
              <w:rPr>
                <w:noProof/>
              </w:rPr>
              <w:fldChar w:fldCharType="begin"/>
            </w:r>
            <w:r w:rsidR="00407E55">
              <w:rPr>
                <w:noProof/>
              </w:rPr>
              <w:instrText>PAGEREF _Toc1871924442 \h</w:instrText>
            </w:r>
            <w:r w:rsidR="00407E55">
              <w:rPr>
                <w:noProof/>
              </w:rPr>
            </w:r>
            <w:r w:rsidR="00407E55">
              <w:rPr>
                <w:noProof/>
              </w:rPr>
              <w:fldChar w:fldCharType="separate"/>
            </w:r>
            <w:r w:rsidR="007317FE">
              <w:rPr>
                <w:noProof/>
              </w:rPr>
              <w:t>6</w:t>
            </w:r>
            <w:r w:rsidR="00407E55">
              <w:rPr>
                <w:noProof/>
              </w:rPr>
              <w:fldChar w:fldCharType="end"/>
            </w:r>
          </w:hyperlink>
        </w:p>
        <w:p w14:paraId="5C14A209" w14:textId="46751DF4" w:rsidR="00D4674C" w:rsidRDefault="007579BC">
          <w:pPr>
            <w:pStyle w:val="TOC1"/>
            <w:rPr>
              <w:rStyle w:val="Hyperlink"/>
              <w:rFonts w:eastAsiaTheme="minorEastAsia"/>
              <w:lang w:eastAsia="en-GB"/>
            </w:rPr>
          </w:pPr>
          <w:hyperlink w:anchor="_Toc1646525668">
            <w:r w:rsidR="6AECEF65" w:rsidRPr="6AECEF65">
              <w:rPr>
                <w:rStyle w:val="Hyperlink"/>
                <w:noProof/>
              </w:rPr>
              <w:t>2 Method</w:t>
            </w:r>
            <w:r w:rsidR="00407E55">
              <w:rPr>
                <w:noProof/>
              </w:rPr>
              <w:tab/>
            </w:r>
            <w:r w:rsidR="00407E55">
              <w:rPr>
                <w:noProof/>
              </w:rPr>
              <w:fldChar w:fldCharType="begin"/>
            </w:r>
            <w:r w:rsidR="00407E55">
              <w:rPr>
                <w:noProof/>
              </w:rPr>
              <w:instrText>PAGEREF _Toc1646525668 \h</w:instrText>
            </w:r>
            <w:r w:rsidR="00407E55">
              <w:rPr>
                <w:noProof/>
              </w:rPr>
            </w:r>
            <w:r w:rsidR="00407E55">
              <w:rPr>
                <w:noProof/>
              </w:rPr>
              <w:fldChar w:fldCharType="separate"/>
            </w:r>
            <w:r w:rsidR="007317FE">
              <w:rPr>
                <w:noProof/>
              </w:rPr>
              <w:t>6</w:t>
            </w:r>
            <w:r w:rsidR="00407E55">
              <w:rPr>
                <w:noProof/>
              </w:rPr>
              <w:fldChar w:fldCharType="end"/>
            </w:r>
          </w:hyperlink>
        </w:p>
        <w:p w14:paraId="1E991CFF" w14:textId="160AF522" w:rsidR="00D4674C" w:rsidRDefault="007579BC">
          <w:pPr>
            <w:pStyle w:val="TOC1"/>
            <w:rPr>
              <w:rStyle w:val="Hyperlink"/>
              <w:rFonts w:eastAsiaTheme="minorEastAsia"/>
              <w:lang w:eastAsia="en-GB"/>
            </w:rPr>
          </w:pPr>
          <w:hyperlink w:anchor="_Toc621420833">
            <w:r w:rsidR="6AECEF65" w:rsidRPr="6AECEF65">
              <w:rPr>
                <w:rStyle w:val="Hyperlink"/>
                <w:noProof/>
              </w:rPr>
              <w:t>3 Findings</w:t>
            </w:r>
            <w:r w:rsidR="00407E55">
              <w:rPr>
                <w:noProof/>
              </w:rPr>
              <w:tab/>
            </w:r>
            <w:r w:rsidR="00407E55">
              <w:rPr>
                <w:noProof/>
              </w:rPr>
              <w:fldChar w:fldCharType="begin"/>
            </w:r>
            <w:r w:rsidR="00407E55">
              <w:rPr>
                <w:noProof/>
              </w:rPr>
              <w:instrText>PAGEREF _Toc621420833 \h</w:instrText>
            </w:r>
            <w:r w:rsidR="00407E55">
              <w:rPr>
                <w:noProof/>
              </w:rPr>
            </w:r>
            <w:r w:rsidR="00407E55">
              <w:rPr>
                <w:noProof/>
              </w:rPr>
              <w:fldChar w:fldCharType="separate"/>
            </w:r>
            <w:r w:rsidR="007317FE">
              <w:rPr>
                <w:noProof/>
              </w:rPr>
              <w:t>7</w:t>
            </w:r>
            <w:r w:rsidR="00407E55">
              <w:rPr>
                <w:noProof/>
              </w:rPr>
              <w:fldChar w:fldCharType="end"/>
            </w:r>
          </w:hyperlink>
        </w:p>
        <w:p w14:paraId="72FA216D" w14:textId="3D6AC483" w:rsidR="00D4674C" w:rsidRDefault="007579BC">
          <w:pPr>
            <w:pStyle w:val="TOC2"/>
            <w:rPr>
              <w:rStyle w:val="Hyperlink"/>
              <w:rFonts w:eastAsiaTheme="minorEastAsia"/>
              <w:lang w:eastAsia="en-GB"/>
            </w:rPr>
          </w:pPr>
          <w:hyperlink w:anchor="_Toc1831006154">
            <w:r w:rsidR="6AECEF65" w:rsidRPr="6AECEF65">
              <w:rPr>
                <w:rStyle w:val="Hyperlink"/>
                <w:noProof/>
              </w:rPr>
              <w:t>3.1 Organisation and Funding</w:t>
            </w:r>
            <w:r w:rsidR="00407E55">
              <w:rPr>
                <w:noProof/>
              </w:rPr>
              <w:tab/>
            </w:r>
            <w:r w:rsidR="00407E55">
              <w:rPr>
                <w:noProof/>
              </w:rPr>
              <w:fldChar w:fldCharType="begin"/>
            </w:r>
            <w:r w:rsidR="00407E55">
              <w:rPr>
                <w:noProof/>
              </w:rPr>
              <w:instrText>PAGEREF _Toc1831006154 \h</w:instrText>
            </w:r>
            <w:r w:rsidR="00407E55">
              <w:rPr>
                <w:noProof/>
              </w:rPr>
            </w:r>
            <w:r w:rsidR="00407E55">
              <w:rPr>
                <w:noProof/>
              </w:rPr>
              <w:fldChar w:fldCharType="separate"/>
            </w:r>
            <w:r w:rsidR="007317FE">
              <w:rPr>
                <w:noProof/>
              </w:rPr>
              <w:t>7</w:t>
            </w:r>
            <w:r w:rsidR="00407E55">
              <w:rPr>
                <w:noProof/>
              </w:rPr>
              <w:fldChar w:fldCharType="end"/>
            </w:r>
          </w:hyperlink>
        </w:p>
        <w:p w14:paraId="00E134AF" w14:textId="4401A10B" w:rsidR="00D4674C" w:rsidRDefault="007579BC">
          <w:pPr>
            <w:pStyle w:val="TOC3"/>
            <w:rPr>
              <w:rStyle w:val="Hyperlink"/>
              <w:rFonts w:eastAsiaTheme="minorEastAsia"/>
              <w:lang w:eastAsia="en-GB"/>
            </w:rPr>
          </w:pPr>
          <w:hyperlink w:anchor="_Toc221569597">
            <w:r w:rsidR="6AECEF65" w:rsidRPr="6AECEF65">
              <w:rPr>
                <w:rStyle w:val="Hyperlink"/>
              </w:rPr>
              <w:t>3.1.1 Funding arrangement</w:t>
            </w:r>
            <w:r w:rsidR="00407E55">
              <w:tab/>
            </w:r>
            <w:r w:rsidR="00407E55">
              <w:fldChar w:fldCharType="begin"/>
            </w:r>
            <w:r w:rsidR="00407E55">
              <w:instrText>PAGEREF _Toc221569597 \h</w:instrText>
            </w:r>
            <w:r w:rsidR="00407E55">
              <w:fldChar w:fldCharType="separate"/>
            </w:r>
            <w:r w:rsidR="007317FE">
              <w:t>7</w:t>
            </w:r>
            <w:r w:rsidR="00407E55">
              <w:fldChar w:fldCharType="end"/>
            </w:r>
          </w:hyperlink>
        </w:p>
        <w:p w14:paraId="5AAEC835" w14:textId="0D8BF977" w:rsidR="00D4674C" w:rsidRDefault="007579BC">
          <w:pPr>
            <w:pStyle w:val="TOC3"/>
            <w:rPr>
              <w:rStyle w:val="Hyperlink"/>
              <w:rFonts w:eastAsiaTheme="minorEastAsia"/>
              <w:lang w:eastAsia="en-GB"/>
            </w:rPr>
          </w:pPr>
          <w:hyperlink w:anchor="_Toc1076437183">
            <w:r w:rsidR="6AECEF65" w:rsidRPr="6AECEF65">
              <w:rPr>
                <w:rStyle w:val="Hyperlink"/>
              </w:rPr>
              <w:t>3.1.2 Service structure and changes to provision</w:t>
            </w:r>
            <w:r w:rsidR="00407E55">
              <w:tab/>
            </w:r>
            <w:r w:rsidR="00407E55">
              <w:fldChar w:fldCharType="begin"/>
            </w:r>
            <w:r w:rsidR="00407E55">
              <w:instrText>PAGEREF _Toc1076437183 \h</w:instrText>
            </w:r>
            <w:r w:rsidR="00407E55">
              <w:fldChar w:fldCharType="separate"/>
            </w:r>
            <w:r w:rsidR="007317FE">
              <w:t>7</w:t>
            </w:r>
            <w:r w:rsidR="00407E55">
              <w:fldChar w:fldCharType="end"/>
            </w:r>
          </w:hyperlink>
        </w:p>
        <w:p w14:paraId="7E4380A7" w14:textId="4DEE153C" w:rsidR="00D4674C" w:rsidRDefault="007579BC">
          <w:pPr>
            <w:pStyle w:val="TOC3"/>
            <w:rPr>
              <w:rStyle w:val="Hyperlink"/>
              <w:rFonts w:eastAsiaTheme="minorEastAsia"/>
              <w:lang w:eastAsia="en-GB"/>
            </w:rPr>
          </w:pPr>
          <w:hyperlink w:anchor="_Toc1035785852">
            <w:r w:rsidR="6AECEF65" w:rsidRPr="6AECEF65">
              <w:rPr>
                <w:rStyle w:val="Hyperlink"/>
              </w:rPr>
              <w:t>3.1.3 Budget</w:t>
            </w:r>
            <w:r w:rsidR="00407E55">
              <w:tab/>
            </w:r>
            <w:r w:rsidR="00407E55">
              <w:fldChar w:fldCharType="begin"/>
            </w:r>
            <w:r w:rsidR="00407E55">
              <w:instrText>PAGEREF _Toc1035785852 \h</w:instrText>
            </w:r>
            <w:r w:rsidR="00407E55">
              <w:fldChar w:fldCharType="separate"/>
            </w:r>
            <w:r w:rsidR="007317FE">
              <w:t>7</w:t>
            </w:r>
            <w:r w:rsidR="00407E55">
              <w:fldChar w:fldCharType="end"/>
            </w:r>
          </w:hyperlink>
        </w:p>
        <w:p w14:paraId="7EAB8571" w14:textId="41B171D1" w:rsidR="00D4674C" w:rsidRDefault="007579BC">
          <w:pPr>
            <w:pStyle w:val="TOC2"/>
            <w:rPr>
              <w:rStyle w:val="Hyperlink"/>
              <w:rFonts w:eastAsiaTheme="minorEastAsia"/>
              <w:lang w:eastAsia="en-GB"/>
            </w:rPr>
          </w:pPr>
          <w:hyperlink w:anchor="_Toc459020087">
            <w:r w:rsidR="6AECEF65" w:rsidRPr="6AECEF65">
              <w:rPr>
                <w:rStyle w:val="Hyperlink"/>
                <w:noProof/>
              </w:rPr>
              <w:t>3.2 Number of children and young people with VI receiving support</w:t>
            </w:r>
            <w:r w:rsidR="00407E55">
              <w:rPr>
                <w:noProof/>
              </w:rPr>
              <w:tab/>
            </w:r>
            <w:r w:rsidR="00407E55">
              <w:rPr>
                <w:noProof/>
              </w:rPr>
              <w:fldChar w:fldCharType="begin"/>
            </w:r>
            <w:r w:rsidR="00407E55">
              <w:rPr>
                <w:noProof/>
              </w:rPr>
              <w:instrText>PAGEREF _Toc459020087 \h</w:instrText>
            </w:r>
            <w:r w:rsidR="00407E55">
              <w:rPr>
                <w:noProof/>
              </w:rPr>
            </w:r>
            <w:r w:rsidR="00407E55">
              <w:rPr>
                <w:noProof/>
              </w:rPr>
              <w:fldChar w:fldCharType="separate"/>
            </w:r>
            <w:r w:rsidR="007317FE">
              <w:rPr>
                <w:noProof/>
              </w:rPr>
              <w:t>8</w:t>
            </w:r>
            <w:r w:rsidR="00407E55">
              <w:rPr>
                <w:noProof/>
              </w:rPr>
              <w:fldChar w:fldCharType="end"/>
            </w:r>
          </w:hyperlink>
        </w:p>
        <w:p w14:paraId="152B4D25" w14:textId="4F6842A8" w:rsidR="00D4674C" w:rsidRDefault="007579BC">
          <w:pPr>
            <w:pStyle w:val="TOC3"/>
            <w:rPr>
              <w:rStyle w:val="Hyperlink"/>
              <w:rFonts w:eastAsiaTheme="minorEastAsia"/>
              <w:lang w:eastAsia="en-GB"/>
            </w:rPr>
          </w:pPr>
          <w:hyperlink w:anchor="_Toc1364985617">
            <w:r w:rsidR="6AECEF65" w:rsidRPr="6AECEF65">
              <w:rPr>
                <w:rStyle w:val="Hyperlink"/>
              </w:rPr>
              <w:t>3.2.1 Children and young people with VI by key stage/year group</w:t>
            </w:r>
            <w:r w:rsidR="00407E55">
              <w:tab/>
            </w:r>
            <w:r w:rsidR="00407E55">
              <w:fldChar w:fldCharType="begin"/>
            </w:r>
            <w:r w:rsidR="00407E55">
              <w:instrText>PAGEREF _Toc1364985617 \h</w:instrText>
            </w:r>
            <w:r w:rsidR="00407E55">
              <w:fldChar w:fldCharType="separate"/>
            </w:r>
            <w:r w:rsidR="007317FE">
              <w:t>8</w:t>
            </w:r>
            <w:r w:rsidR="00407E55">
              <w:fldChar w:fldCharType="end"/>
            </w:r>
          </w:hyperlink>
        </w:p>
        <w:p w14:paraId="393B391E" w14:textId="6DD1F7CD" w:rsidR="00D4674C" w:rsidRDefault="007579BC">
          <w:pPr>
            <w:pStyle w:val="TOC3"/>
            <w:rPr>
              <w:rStyle w:val="Hyperlink"/>
              <w:rFonts w:eastAsiaTheme="minorEastAsia"/>
              <w:lang w:eastAsia="en-GB"/>
            </w:rPr>
          </w:pPr>
          <w:hyperlink w:anchor="_Toc954446751">
            <w:r w:rsidR="6AECEF65" w:rsidRPr="6AECEF65">
              <w:rPr>
                <w:rStyle w:val="Hyperlink"/>
              </w:rPr>
              <w:t>3.2.2 Number of children and young people with VI by statement category</w:t>
            </w:r>
            <w:r w:rsidR="00407E55">
              <w:tab/>
            </w:r>
            <w:r w:rsidR="00407E55">
              <w:fldChar w:fldCharType="begin"/>
            </w:r>
            <w:r w:rsidR="00407E55">
              <w:instrText>PAGEREF _Toc954446751 \h</w:instrText>
            </w:r>
            <w:r w:rsidR="00407E55">
              <w:fldChar w:fldCharType="separate"/>
            </w:r>
            <w:r w:rsidR="007317FE">
              <w:t>8</w:t>
            </w:r>
            <w:r w:rsidR="00407E55">
              <w:fldChar w:fldCharType="end"/>
            </w:r>
          </w:hyperlink>
        </w:p>
        <w:p w14:paraId="300B01FA" w14:textId="2B1C6C55" w:rsidR="00D4674C" w:rsidRDefault="007579BC">
          <w:pPr>
            <w:pStyle w:val="TOC3"/>
            <w:rPr>
              <w:rStyle w:val="Hyperlink"/>
              <w:rFonts w:eastAsiaTheme="minorEastAsia"/>
              <w:lang w:eastAsia="en-GB"/>
            </w:rPr>
          </w:pPr>
          <w:hyperlink w:anchor="_Toc75680846">
            <w:r w:rsidR="6AECEF65" w:rsidRPr="6AECEF65">
              <w:rPr>
                <w:rStyle w:val="Hyperlink"/>
              </w:rPr>
              <w:t>3.2.4 Criteria for allocating support levels</w:t>
            </w:r>
            <w:r w:rsidR="00407E55">
              <w:tab/>
            </w:r>
            <w:r w:rsidR="00407E55">
              <w:fldChar w:fldCharType="begin"/>
            </w:r>
            <w:r w:rsidR="00407E55">
              <w:instrText>PAGEREF _Toc75680846 \h</w:instrText>
            </w:r>
            <w:r w:rsidR="00407E55">
              <w:fldChar w:fldCharType="separate"/>
            </w:r>
            <w:r w:rsidR="007317FE">
              <w:t>9</w:t>
            </w:r>
            <w:r w:rsidR="00407E55">
              <w:fldChar w:fldCharType="end"/>
            </w:r>
          </w:hyperlink>
        </w:p>
        <w:p w14:paraId="315791A3" w14:textId="7C74D244" w:rsidR="00D4674C" w:rsidRDefault="007579BC">
          <w:pPr>
            <w:pStyle w:val="TOC3"/>
            <w:rPr>
              <w:rStyle w:val="Hyperlink"/>
              <w:rFonts w:eastAsiaTheme="minorEastAsia"/>
              <w:lang w:eastAsia="en-GB"/>
            </w:rPr>
          </w:pPr>
          <w:hyperlink w:anchor="_Toc1359156668">
            <w:r w:rsidR="6AECEF65" w:rsidRPr="6AECEF65">
              <w:rPr>
                <w:rStyle w:val="Hyperlink"/>
              </w:rPr>
              <w:t>3.2.4 Braille users</w:t>
            </w:r>
            <w:r w:rsidR="00407E55">
              <w:tab/>
            </w:r>
            <w:r w:rsidR="00407E55">
              <w:fldChar w:fldCharType="begin"/>
            </w:r>
            <w:r w:rsidR="00407E55">
              <w:instrText>PAGEREF _Toc1359156668 \h</w:instrText>
            </w:r>
            <w:r w:rsidR="00407E55">
              <w:fldChar w:fldCharType="separate"/>
            </w:r>
            <w:r w:rsidR="007317FE">
              <w:t>9</w:t>
            </w:r>
            <w:r w:rsidR="00407E55">
              <w:fldChar w:fldCharType="end"/>
            </w:r>
          </w:hyperlink>
        </w:p>
        <w:p w14:paraId="077AEE70" w14:textId="28B36F4B" w:rsidR="00D4674C" w:rsidRDefault="007579BC">
          <w:pPr>
            <w:pStyle w:val="TOC2"/>
            <w:rPr>
              <w:rStyle w:val="Hyperlink"/>
              <w:rFonts w:eastAsiaTheme="minorEastAsia"/>
              <w:lang w:eastAsia="en-GB"/>
            </w:rPr>
          </w:pPr>
          <w:hyperlink w:anchor="_Toc1974228388">
            <w:r w:rsidR="6AECEF65" w:rsidRPr="6AECEF65">
              <w:rPr>
                <w:rStyle w:val="Hyperlink"/>
                <w:noProof/>
              </w:rPr>
              <w:t>3.3 Teachers and support staff</w:t>
            </w:r>
            <w:r w:rsidR="00407E55">
              <w:rPr>
                <w:noProof/>
              </w:rPr>
              <w:tab/>
            </w:r>
            <w:r w:rsidR="00407E55">
              <w:rPr>
                <w:noProof/>
              </w:rPr>
              <w:fldChar w:fldCharType="begin"/>
            </w:r>
            <w:r w:rsidR="00407E55">
              <w:rPr>
                <w:noProof/>
              </w:rPr>
              <w:instrText>PAGEREF _Toc1974228388 \h</w:instrText>
            </w:r>
            <w:r w:rsidR="00407E55">
              <w:rPr>
                <w:noProof/>
              </w:rPr>
            </w:r>
            <w:r w:rsidR="00407E55">
              <w:rPr>
                <w:noProof/>
              </w:rPr>
              <w:fldChar w:fldCharType="separate"/>
            </w:r>
            <w:r w:rsidR="007317FE">
              <w:rPr>
                <w:noProof/>
              </w:rPr>
              <w:t>10</w:t>
            </w:r>
            <w:r w:rsidR="00407E55">
              <w:rPr>
                <w:noProof/>
              </w:rPr>
              <w:fldChar w:fldCharType="end"/>
            </w:r>
          </w:hyperlink>
        </w:p>
        <w:p w14:paraId="1219F876" w14:textId="06C15C01" w:rsidR="00D4674C" w:rsidRDefault="007579BC">
          <w:pPr>
            <w:pStyle w:val="TOC3"/>
            <w:rPr>
              <w:rStyle w:val="Hyperlink"/>
              <w:rFonts w:eastAsiaTheme="minorEastAsia"/>
              <w:lang w:eastAsia="en-GB"/>
            </w:rPr>
          </w:pPr>
          <w:hyperlink w:anchor="_Toc1468157438">
            <w:r w:rsidR="6AECEF65" w:rsidRPr="6AECEF65">
              <w:rPr>
                <w:rStyle w:val="Hyperlink"/>
              </w:rPr>
              <w:t>3.3.1 Service provision</w:t>
            </w:r>
            <w:r w:rsidR="00407E55">
              <w:tab/>
            </w:r>
            <w:r w:rsidR="00407E55">
              <w:fldChar w:fldCharType="begin"/>
            </w:r>
            <w:r w:rsidR="00407E55">
              <w:instrText>PAGEREF _Toc1468157438 \h</w:instrText>
            </w:r>
            <w:r w:rsidR="00407E55">
              <w:fldChar w:fldCharType="separate"/>
            </w:r>
            <w:r w:rsidR="007317FE">
              <w:t>10</w:t>
            </w:r>
            <w:r w:rsidR="00407E55">
              <w:fldChar w:fldCharType="end"/>
            </w:r>
          </w:hyperlink>
        </w:p>
        <w:p w14:paraId="095D7C12" w14:textId="42F337FA" w:rsidR="00D4674C" w:rsidRDefault="007579BC">
          <w:pPr>
            <w:pStyle w:val="TOC3"/>
            <w:rPr>
              <w:rStyle w:val="Hyperlink"/>
              <w:rFonts w:eastAsiaTheme="minorEastAsia"/>
              <w:lang w:eastAsia="en-GB"/>
            </w:rPr>
          </w:pPr>
          <w:hyperlink w:anchor="_Toc2007109599">
            <w:r w:rsidR="6AECEF65" w:rsidRPr="6AECEF65">
              <w:rPr>
                <w:rStyle w:val="Hyperlink"/>
              </w:rPr>
              <w:t>3.3.2 QTVI posts</w:t>
            </w:r>
            <w:r w:rsidR="00407E55">
              <w:tab/>
            </w:r>
            <w:r w:rsidR="00407E55">
              <w:fldChar w:fldCharType="begin"/>
            </w:r>
            <w:r w:rsidR="00407E55">
              <w:instrText>PAGEREF _Toc2007109599 \h</w:instrText>
            </w:r>
            <w:r w:rsidR="00407E55">
              <w:fldChar w:fldCharType="separate"/>
            </w:r>
            <w:r w:rsidR="007317FE">
              <w:t>10</w:t>
            </w:r>
            <w:r w:rsidR="00407E55">
              <w:fldChar w:fldCharType="end"/>
            </w:r>
          </w:hyperlink>
        </w:p>
        <w:p w14:paraId="626D70AA" w14:textId="07B752B5" w:rsidR="00D4674C" w:rsidRDefault="007579BC" w:rsidP="007317FE">
          <w:pPr>
            <w:pStyle w:val="TOC2"/>
            <w:rPr>
              <w:rStyle w:val="Hyperlink"/>
              <w:rFonts w:eastAsiaTheme="minorEastAsia"/>
              <w:lang w:eastAsia="en-GB"/>
            </w:rPr>
          </w:pPr>
          <w:hyperlink w:anchor="_Toc1450076043">
            <w:r w:rsidR="6AECEF65" w:rsidRPr="6AECEF65">
              <w:rPr>
                <w:rStyle w:val="Hyperlink"/>
                <w:noProof/>
              </w:rPr>
              <w:t>3.4 Habilitation</w:t>
            </w:r>
            <w:r w:rsidR="00407E55">
              <w:rPr>
                <w:noProof/>
              </w:rPr>
              <w:tab/>
            </w:r>
            <w:r w:rsidR="00407E55">
              <w:rPr>
                <w:noProof/>
              </w:rPr>
              <w:fldChar w:fldCharType="begin"/>
            </w:r>
            <w:r w:rsidR="00407E55">
              <w:rPr>
                <w:noProof/>
              </w:rPr>
              <w:instrText>PAGEREF _Toc1450076043 \h</w:instrText>
            </w:r>
            <w:r w:rsidR="00407E55">
              <w:rPr>
                <w:noProof/>
              </w:rPr>
            </w:r>
            <w:r w:rsidR="00407E55">
              <w:rPr>
                <w:noProof/>
              </w:rPr>
              <w:fldChar w:fldCharType="separate"/>
            </w:r>
            <w:r w:rsidR="007317FE">
              <w:rPr>
                <w:noProof/>
              </w:rPr>
              <w:t>10</w:t>
            </w:r>
            <w:r w:rsidR="00407E55">
              <w:rPr>
                <w:noProof/>
              </w:rPr>
              <w:fldChar w:fldCharType="end"/>
            </w:r>
          </w:hyperlink>
        </w:p>
        <w:p w14:paraId="1B881775" w14:textId="1EEC97E9" w:rsidR="00D4674C" w:rsidRDefault="007579BC" w:rsidP="007317FE">
          <w:pPr>
            <w:pStyle w:val="TOC3"/>
            <w:rPr>
              <w:rStyle w:val="Hyperlink"/>
              <w:rFonts w:eastAsiaTheme="minorEastAsia"/>
              <w:lang w:eastAsia="en-GB"/>
            </w:rPr>
          </w:pPr>
          <w:hyperlink w:anchor="_Toc730566309">
            <w:r w:rsidR="6AECEF65" w:rsidRPr="6AECEF65">
              <w:rPr>
                <w:rStyle w:val="Hyperlink"/>
              </w:rPr>
              <w:t>3.5 Curriculum Framework for children and young people with Vision Impairment (CFVI)</w:t>
            </w:r>
            <w:r w:rsidR="00407E55">
              <w:tab/>
            </w:r>
            <w:r w:rsidR="00407E55">
              <w:fldChar w:fldCharType="begin"/>
            </w:r>
            <w:r w:rsidR="00407E55">
              <w:instrText>PAGEREF _Toc730566309 \h</w:instrText>
            </w:r>
            <w:r w:rsidR="00407E55">
              <w:fldChar w:fldCharType="separate"/>
            </w:r>
            <w:r w:rsidR="007317FE">
              <w:t>11</w:t>
            </w:r>
            <w:r w:rsidR="00407E55">
              <w:fldChar w:fldCharType="end"/>
            </w:r>
          </w:hyperlink>
        </w:p>
        <w:p w14:paraId="4EF893FB" w14:textId="632B1E0C" w:rsidR="00D4674C" w:rsidRDefault="007579BC" w:rsidP="007317FE">
          <w:pPr>
            <w:pStyle w:val="TOC2"/>
            <w:rPr>
              <w:rStyle w:val="Hyperlink"/>
              <w:noProof/>
              <w:lang w:eastAsia="en-GB"/>
            </w:rPr>
          </w:pPr>
          <w:hyperlink w:anchor="_Toc1085857789">
            <w:r w:rsidR="6AECEF65" w:rsidRPr="6AECEF65">
              <w:rPr>
                <w:rStyle w:val="Hyperlink"/>
                <w:noProof/>
              </w:rPr>
              <w:t>4 Conclusion</w:t>
            </w:r>
            <w:r w:rsidR="00407E55">
              <w:rPr>
                <w:noProof/>
              </w:rPr>
              <w:tab/>
            </w:r>
            <w:r w:rsidR="00407E55">
              <w:rPr>
                <w:noProof/>
              </w:rPr>
              <w:fldChar w:fldCharType="begin"/>
            </w:r>
            <w:r w:rsidR="00407E55">
              <w:rPr>
                <w:noProof/>
              </w:rPr>
              <w:instrText>PAGEREF _Toc1085857789 \h</w:instrText>
            </w:r>
            <w:r w:rsidR="00407E55">
              <w:rPr>
                <w:noProof/>
              </w:rPr>
            </w:r>
            <w:r w:rsidR="00407E55">
              <w:rPr>
                <w:noProof/>
              </w:rPr>
              <w:fldChar w:fldCharType="separate"/>
            </w:r>
            <w:r w:rsidR="007317FE">
              <w:rPr>
                <w:noProof/>
              </w:rPr>
              <w:t>11</w:t>
            </w:r>
            <w:r w:rsidR="00407E55">
              <w:rPr>
                <w:noProof/>
              </w:rPr>
              <w:fldChar w:fldCharType="end"/>
            </w:r>
          </w:hyperlink>
          <w:r w:rsidR="00E511ED">
            <w:fldChar w:fldCharType="end"/>
          </w:r>
        </w:p>
      </w:sdtContent>
    </w:sdt>
    <w:p w14:paraId="4733CB96" w14:textId="4E571505" w:rsidR="00E511ED" w:rsidRDefault="00E511ED"/>
    <w:p w14:paraId="1BD32706" w14:textId="24773853" w:rsidR="00836C85" w:rsidRPr="00836C85" w:rsidRDefault="00836C85" w:rsidP="00836C85"/>
    <w:p w14:paraId="52B7ABDB" w14:textId="32730A26" w:rsidR="00C6380E" w:rsidRDefault="00C6380E" w:rsidP="00836C85">
      <w:pPr>
        <w:pStyle w:val="Heading1"/>
      </w:pPr>
      <w:bookmarkStart w:id="15" w:name="_Toc131585358"/>
      <w:bookmarkStart w:id="16" w:name="_Toc1283228808"/>
      <w:r>
        <w:lastRenderedPageBreak/>
        <w:t>For</w:t>
      </w:r>
      <w:r w:rsidR="00B362DD">
        <w:t>eword</w:t>
      </w:r>
      <w:bookmarkEnd w:id="15"/>
      <w:bookmarkEnd w:id="16"/>
    </w:p>
    <w:p w14:paraId="4BE293BE" w14:textId="77777777" w:rsidR="008E4262" w:rsidRDefault="008E4262" w:rsidP="008E4262">
      <w:r w:rsidRPr="008E4262">
        <w:t>Children and young people with vision impairment in Northern Ireland deserve equitable opportunities to thrive in education and beyond, alongside their sighted peers.</w:t>
      </w:r>
    </w:p>
    <w:p w14:paraId="114E3085" w14:textId="77777777" w:rsidR="008E4262" w:rsidRPr="008E4262" w:rsidRDefault="008E4262" w:rsidP="008E4262"/>
    <w:p w14:paraId="4E4AC194" w14:textId="77777777" w:rsidR="008E4262" w:rsidRDefault="008E4262" w:rsidP="008E4262">
      <w:r w:rsidRPr="008E4262">
        <w:t>We were prompted to request information on the structure, organisation and funding of the Education Authority Vision Impairment Advisory Service, current caseloads, habilitation services, and understanding of the new Curriculum Framework for Children and Young People with Vision Impairment (CFVI). This is to examine whether some children and young people in Northern Ireland are currently unable to receive the level and type of support they need to develop their independence, access education, and realise their potential.</w:t>
      </w:r>
    </w:p>
    <w:p w14:paraId="1D93BD48" w14:textId="77777777" w:rsidR="008E4262" w:rsidRPr="008E4262" w:rsidRDefault="008E4262" w:rsidP="008E4262"/>
    <w:p w14:paraId="46814BC3" w14:textId="1BB76DB6" w:rsidR="00134436" w:rsidRDefault="008E4262" w:rsidP="008E4262">
      <w:r>
        <w:t xml:space="preserve">According to the findings of this report, the proportion of pupils with vision impairment who are statemented has </w:t>
      </w:r>
      <w:r w:rsidR="00DA5C21">
        <w:t>increased</w:t>
      </w:r>
      <w:r>
        <w:t xml:space="preserve"> by 7%. </w:t>
      </w:r>
      <w:r w:rsidR="006C6DDD">
        <w:t xml:space="preserve">Additionally, the number of children and young people with vision impairment receiving specialist support </w:t>
      </w:r>
      <w:proofErr w:type="gramStart"/>
      <w:r w:rsidR="006C6DDD">
        <w:t>has</w:t>
      </w:r>
      <w:proofErr w:type="gramEnd"/>
      <w:r w:rsidR="006C6DDD">
        <w:t xml:space="preserve"> risen to </w:t>
      </w:r>
      <w:r w:rsidR="00BE5F9D">
        <w:t xml:space="preserve">867 with no accompanying increase in staffing. </w:t>
      </w:r>
    </w:p>
    <w:p w14:paraId="24F137A3" w14:textId="548D2996" w:rsidR="008E4262" w:rsidRPr="008E4262" w:rsidRDefault="008E4262" w:rsidP="008E4262">
      <w:r w:rsidRPr="008E4262">
        <w:t xml:space="preserve"> </w:t>
      </w:r>
    </w:p>
    <w:p w14:paraId="54F03F21" w14:textId="59CA088B" w:rsidR="008E4262" w:rsidRDefault="008E4262" w:rsidP="008E4262">
      <w:r>
        <w:t xml:space="preserve">We note that the Education Authority’s Sensory Service is being reviewed as part of the SEN Transformation plan. </w:t>
      </w:r>
      <w:r w:rsidR="006C42D9">
        <w:t>We hope that th</w:t>
      </w:r>
      <w:r w:rsidR="007A1D63">
        <w:t xml:space="preserve">e plan provides </w:t>
      </w:r>
      <w:r w:rsidR="007168B6">
        <w:t xml:space="preserve">the funding and resources to allow children and young people with vision impairment to access an appropriate level of provision across Northern Ireland. </w:t>
      </w:r>
      <w:r>
        <w:t>We</w:t>
      </w:r>
      <w:r w:rsidR="00173961">
        <w:t xml:space="preserve"> believe that </w:t>
      </w:r>
      <w:r w:rsidR="00BE5F9D">
        <w:t>the restoration</w:t>
      </w:r>
      <w:r>
        <w:t xml:space="preserve"> of the Northern Ireland Executive </w:t>
      </w:r>
      <w:r w:rsidR="000016B9">
        <w:t>provides an</w:t>
      </w:r>
      <w:r w:rsidR="00023573">
        <w:t xml:space="preserve"> </w:t>
      </w:r>
      <w:r w:rsidR="00073AB3">
        <w:t>opportunity t</w:t>
      </w:r>
      <w:r w:rsidR="00395867">
        <w:t>o support the</w:t>
      </w:r>
      <w:r>
        <w:t xml:space="preserve"> </w:t>
      </w:r>
      <w:r w:rsidR="000016B9">
        <w:t>long-term</w:t>
      </w:r>
      <w:r>
        <w:t xml:space="preserve"> planning for </w:t>
      </w:r>
      <w:r w:rsidR="000016B9">
        <w:t>delivery</w:t>
      </w:r>
      <w:r>
        <w:t xml:space="preserve"> of this vital specialist service. </w:t>
      </w:r>
    </w:p>
    <w:p w14:paraId="3F497A6C" w14:textId="77777777" w:rsidR="008E4262" w:rsidRPr="008E4262" w:rsidRDefault="008E4262" w:rsidP="008E4262"/>
    <w:p w14:paraId="1FB2C9CE" w14:textId="77777777" w:rsidR="008E4262" w:rsidRDefault="008E4262" w:rsidP="008E4262">
      <w:r w:rsidRPr="008E4262">
        <w:t>RNIB would like to thank the following organisations for their assistance with this Freedom of Information Request: Guide Dogs Northern Ireland and Jordanstown School. We also thank the Education Authority for Northern Ireland for their response.</w:t>
      </w:r>
    </w:p>
    <w:p w14:paraId="2E2FD78E" w14:textId="77777777" w:rsidR="008E4262" w:rsidRPr="008E4262" w:rsidRDefault="008E4262" w:rsidP="008E4262"/>
    <w:p w14:paraId="28F49E22" w14:textId="77777777" w:rsidR="008E4262" w:rsidRDefault="008E4262" w:rsidP="008E4262">
      <w:r w:rsidRPr="008E4262">
        <w:t>We look forward to working together to raise aspirations, attainment, and the ability to meet the needs of our children and young people with vision impairment in Northern Ireland.</w:t>
      </w:r>
    </w:p>
    <w:p w14:paraId="575021E3" w14:textId="77777777" w:rsidR="008E4262" w:rsidRPr="008E4262" w:rsidRDefault="008E4262" w:rsidP="008E4262"/>
    <w:p w14:paraId="4964919A" w14:textId="628D69D7" w:rsidR="008E4262" w:rsidRDefault="008E4262" w:rsidP="008E4262">
      <w:r w:rsidRPr="008E4262">
        <w:t>Robert Shilliday</w:t>
      </w:r>
    </w:p>
    <w:p w14:paraId="313A51CD" w14:textId="77777777" w:rsidR="00241528" w:rsidRPr="008E4262" w:rsidRDefault="00241528" w:rsidP="008E4262"/>
    <w:p w14:paraId="51EC9A3C" w14:textId="394D0EBD" w:rsidR="00836C85" w:rsidRDefault="008E4262">
      <w:r w:rsidRPr="008E4262">
        <w:lastRenderedPageBreak/>
        <w:t>Director, RNIB Northern Ireland</w:t>
      </w:r>
      <w:r w:rsidR="00836C85">
        <w:br w:type="page"/>
      </w:r>
    </w:p>
    <w:p w14:paraId="000D879F" w14:textId="4BAAAFAB" w:rsidR="00836C85" w:rsidRDefault="00836C85" w:rsidP="00836C85">
      <w:pPr>
        <w:pStyle w:val="Heading1"/>
      </w:pPr>
      <w:bookmarkStart w:id="17" w:name="_Toc153245067"/>
      <w:r>
        <w:lastRenderedPageBreak/>
        <w:t>Glossary</w:t>
      </w:r>
      <w:bookmarkEnd w:id="17"/>
    </w:p>
    <w:p w14:paraId="6E220FE1" w14:textId="5EECF7F1" w:rsidR="00836C85" w:rsidRPr="00836C85" w:rsidRDefault="00836C85" w:rsidP="00836C85">
      <w:r w:rsidRPr="00836C85">
        <w:t xml:space="preserve">Here we explain the acronyms used in this report with their definitions. For ease, we have used some terms - such as teaching assistant - but we acknowledge different terms are used both across </w:t>
      </w:r>
      <w:r>
        <w:t>Northern Ireland</w:t>
      </w:r>
      <w:r w:rsidRPr="00836C85">
        <w:t xml:space="preserve"> and elsewhere. There are two columns in this table. The first column contains the acronym, and the second column contains the </w:t>
      </w:r>
      <w:r w:rsidR="00392500" w:rsidRPr="00836C85">
        <w:t>definition.</w:t>
      </w:r>
    </w:p>
    <w:p w14:paraId="55799D52" w14:textId="77777777" w:rsidR="00836C85" w:rsidRDefault="00836C85"/>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8056"/>
      </w:tblGrid>
      <w:tr w:rsidR="00D93443" w:rsidRPr="00D93443" w14:paraId="04DEC963" w14:textId="77777777">
        <w:trPr>
          <w:trHeight w:val="833"/>
        </w:trPr>
        <w:tc>
          <w:tcPr>
            <w:tcW w:w="1497" w:type="dxa"/>
          </w:tcPr>
          <w:p w14:paraId="5BC31556" w14:textId="77777777" w:rsidR="00D93443" w:rsidRPr="00D93443" w:rsidRDefault="00D93443" w:rsidP="00D93443">
            <w:pPr>
              <w:rPr>
                <w:b/>
              </w:rPr>
            </w:pPr>
            <w:r w:rsidRPr="00D93443">
              <w:rPr>
                <w:b/>
                <w:bCs/>
              </w:rPr>
              <w:t>CFVI</w:t>
            </w:r>
          </w:p>
        </w:tc>
        <w:tc>
          <w:tcPr>
            <w:tcW w:w="8056" w:type="dxa"/>
          </w:tcPr>
          <w:p w14:paraId="6616699E" w14:textId="77777777" w:rsidR="00D93443" w:rsidRPr="00D93443" w:rsidRDefault="00D93443" w:rsidP="00D93443">
            <w:r w:rsidRPr="00D93443">
              <w:t>Curriculum Framework for Children and Young People with Vision Impairment</w:t>
            </w:r>
          </w:p>
        </w:tc>
      </w:tr>
      <w:tr w:rsidR="00D93443" w:rsidRPr="00D93443" w14:paraId="3A531FD1" w14:textId="77777777">
        <w:trPr>
          <w:trHeight w:val="481"/>
        </w:trPr>
        <w:tc>
          <w:tcPr>
            <w:tcW w:w="1497" w:type="dxa"/>
          </w:tcPr>
          <w:p w14:paraId="71E09F86" w14:textId="77777777" w:rsidR="00D93443" w:rsidRPr="00D93443" w:rsidRDefault="00D93443" w:rsidP="00D93443">
            <w:pPr>
              <w:rPr>
                <w:b/>
              </w:rPr>
            </w:pPr>
            <w:r w:rsidRPr="00D93443">
              <w:rPr>
                <w:b/>
              </w:rPr>
              <w:t>CYP</w:t>
            </w:r>
          </w:p>
        </w:tc>
        <w:tc>
          <w:tcPr>
            <w:tcW w:w="8056" w:type="dxa"/>
          </w:tcPr>
          <w:p w14:paraId="5154B93C" w14:textId="77777777" w:rsidR="00D93443" w:rsidRPr="00D93443" w:rsidRDefault="00D93443" w:rsidP="00D93443">
            <w:r w:rsidRPr="00D93443">
              <w:t>Children and Young People</w:t>
            </w:r>
          </w:p>
        </w:tc>
      </w:tr>
      <w:tr w:rsidR="00D93443" w:rsidRPr="00D93443" w14:paraId="365506B1" w14:textId="77777777">
        <w:trPr>
          <w:trHeight w:val="481"/>
        </w:trPr>
        <w:tc>
          <w:tcPr>
            <w:tcW w:w="1497" w:type="dxa"/>
          </w:tcPr>
          <w:p w14:paraId="21F879C8" w14:textId="77777777" w:rsidR="00D93443" w:rsidRPr="00D93443" w:rsidRDefault="00D93443" w:rsidP="00D93443">
            <w:pPr>
              <w:rPr>
                <w:b/>
              </w:rPr>
            </w:pPr>
            <w:r w:rsidRPr="00D93443">
              <w:rPr>
                <w:b/>
              </w:rPr>
              <w:t>DJVI</w:t>
            </w:r>
          </w:p>
        </w:tc>
        <w:tc>
          <w:tcPr>
            <w:tcW w:w="8056" w:type="dxa"/>
          </w:tcPr>
          <w:p w14:paraId="5464B3DD" w14:textId="77777777" w:rsidR="00D93443" w:rsidRPr="00D93443" w:rsidRDefault="00D93443" w:rsidP="00D93443">
            <w:r w:rsidRPr="00D93443">
              <w:t>Developmental Journal</w:t>
            </w:r>
          </w:p>
        </w:tc>
      </w:tr>
      <w:tr w:rsidR="00D93443" w:rsidRPr="00D93443" w14:paraId="61A2DBDA" w14:textId="77777777">
        <w:trPr>
          <w:trHeight w:val="481"/>
        </w:trPr>
        <w:tc>
          <w:tcPr>
            <w:tcW w:w="1497" w:type="dxa"/>
          </w:tcPr>
          <w:p w14:paraId="76EE933B" w14:textId="77777777" w:rsidR="00D93443" w:rsidRPr="00D93443" w:rsidRDefault="00D93443" w:rsidP="00D93443">
            <w:pPr>
              <w:rPr>
                <w:b/>
              </w:rPr>
            </w:pPr>
            <w:r w:rsidRPr="00D93443">
              <w:rPr>
                <w:b/>
              </w:rPr>
              <w:t>EA</w:t>
            </w:r>
          </w:p>
        </w:tc>
        <w:tc>
          <w:tcPr>
            <w:tcW w:w="8056" w:type="dxa"/>
          </w:tcPr>
          <w:p w14:paraId="399343F5" w14:textId="77777777" w:rsidR="00D93443" w:rsidRPr="00D93443" w:rsidRDefault="00D93443" w:rsidP="00D93443">
            <w:r w:rsidRPr="00D93443">
              <w:t>Education Authority</w:t>
            </w:r>
          </w:p>
        </w:tc>
      </w:tr>
      <w:tr w:rsidR="00D93443" w:rsidRPr="00D93443" w14:paraId="2AD26261" w14:textId="77777777">
        <w:trPr>
          <w:trHeight w:val="481"/>
        </w:trPr>
        <w:tc>
          <w:tcPr>
            <w:tcW w:w="1497" w:type="dxa"/>
          </w:tcPr>
          <w:p w14:paraId="3FD92FD5" w14:textId="77777777" w:rsidR="00D93443" w:rsidRPr="00D93443" w:rsidRDefault="00D93443" w:rsidP="00D93443">
            <w:pPr>
              <w:rPr>
                <w:b/>
              </w:rPr>
            </w:pPr>
            <w:r w:rsidRPr="00D93443">
              <w:rPr>
                <w:b/>
              </w:rPr>
              <w:t>FOI</w:t>
            </w:r>
          </w:p>
        </w:tc>
        <w:tc>
          <w:tcPr>
            <w:tcW w:w="8056" w:type="dxa"/>
          </w:tcPr>
          <w:p w14:paraId="0A0CDEF7" w14:textId="77777777" w:rsidR="00D93443" w:rsidRPr="00D93443" w:rsidRDefault="00D93443" w:rsidP="00D93443">
            <w:r w:rsidRPr="00D93443">
              <w:t>Freedom of Information</w:t>
            </w:r>
          </w:p>
        </w:tc>
      </w:tr>
      <w:tr w:rsidR="00D93443" w:rsidRPr="00D93443" w14:paraId="375B13A1" w14:textId="77777777">
        <w:trPr>
          <w:trHeight w:val="481"/>
        </w:trPr>
        <w:tc>
          <w:tcPr>
            <w:tcW w:w="1497" w:type="dxa"/>
          </w:tcPr>
          <w:p w14:paraId="6414E300" w14:textId="77777777" w:rsidR="00D93443" w:rsidRPr="00D93443" w:rsidRDefault="00D93443" w:rsidP="00D93443">
            <w:pPr>
              <w:rPr>
                <w:b/>
              </w:rPr>
            </w:pPr>
            <w:r w:rsidRPr="00D93443">
              <w:rPr>
                <w:b/>
              </w:rPr>
              <w:t>FTE</w:t>
            </w:r>
          </w:p>
        </w:tc>
        <w:tc>
          <w:tcPr>
            <w:tcW w:w="8056" w:type="dxa"/>
          </w:tcPr>
          <w:p w14:paraId="105566F2" w14:textId="77777777" w:rsidR="00D93443" w:rsidRPr="00D93443" w:rsidRDefault="00D93443" w:rsidP="00D93443">
            <w:r w:rsidRPr="00D93443">
              <w:t>Full-time Equivalent</w:t>
            </w:r>
          </w:p>
        </w:tc>
      </w:tr>
      <w:tr w:rsidR="00D93443" w:rsidRPr="00D93443" w14:paraId="1B39FD15" w14:textId="77777777">
        <w:trPr>
          <w:trHeight w:val="481"/>
        </w:trPr>
        <w:tc>
          <w:tcPr>
            <w:tcW w:w="1497" w:type="dxa"/>
          </w:tcPr>
          <w:p w14:paraId="3C0CC66E" w14:textId="77777777" w:rsidR="00D93443" w:rsidRPr="00D93443" w:rsidRDefault="00D93443" w:rsidP="00D93443">
            <w:pPr>
              <w:rPr>
                <w:b/>
              </w:rPr>
            </w:pPr>
            <w:r w:rsidRPr="00D93443">
              <w:rPr>
                <w:b/>
              </w:rPr>
              <w:t>MQ</w:t>
            </w:r>
          </w:p>
        </w:tc>
        <w:tc>
          <w:tcPr>
            <w:tcW w:w="8056" w:type="dxa"/>
          </w:tcPr>
          <w:p w14:paraId="5125339D" w14:textId="77777777" w:rsidR="00D93443" w:rsidRPr="00D93443" w:rsidRDefault="00D93443" w:rsidP="00D93443">
            <w:r w:rsidRPr="00D93443">
              <w:t>Mandatory Qualification</w:t>
            </w:r>
          </w:p>
        </w:tc>
      </w:tr>
      <w:tr w:rsidR="00D93443" w:rsidRPr="00D93443" w14:paraId="5E726C5B" w14:textId="77777777">
        <w:trPr>
          <w:trHeight w:val="481"/>
        </w:trPr>
        <w:tc>
          <w:tcPr>
            <w:tcW w:w="1497" w:type="dxa"/>
          </w:tcPr>
          <w:p w14:paraId="1AAEC973" w14:textId="77777777" w:rsidR="00D93443" w:rsidRPr="00D93443" w:rsidRDefault="00D93443" w:rsidP="00D93443">
            <w:pPr>
              <w:rPr>
                <w:b/>
              </w:rPr>
            </w:pPr>
            <w:r w:rsidRPr="00D93443">
              <w:rPr>
                <w:b/>
              </w:rPr>
              <w:t>MSI</w:t>
            </w:r>
          </w:p>
        </w:tc>
        <w:tc>
          <w:tcPr>
            <w:tcW w:w="8056" w:type="dxa"/>
          </w:tcPr>
          <w:p w14:paraId="3E730ACF" w14:textId="77777777" w:rsidR="00D93443" w:rsidRPr="00D93443" w:rsidRDefault="00D93443" w:rsidP="00D93443">
            <w:r w:rsidRPr="00D93443">
              <w:t>Multi-sensory Impairment</w:t>
            </w:r>
          </w:p>
        </w:tc>
      </w:tr>
      <w:tr w:rsidR="00D93443" w:rsidRPr="00D93443" w14:paraId="683118D4" w14:textId="77777777">
        <w:trPr>
          <w:trHeight w:val="481"/>
        </w:trPr>
        <w:tc>
          <w:tcPr>
            <w:tcW w:w="1497" w:type="dxa"/>
          </w:tcPr>
          <w:p w14:paraId="66B3D1FF" w14:textId="77777777" w:rsidR="00D93443" w:rsidRPr="00D93443" w:rsidRDefault="00D93443" w:rsidP="00D93443">
            <w:pPr>
              <w:rPr>
                <w:b/>
              </w:rPr>
            </w:pPr>
            <w:proofErr w:type="spellStart"/>
            <w:r w:rsidRPr="00D93443">
              <w:rPr>
                <w:b/>
              </w:rPr>
              <w:t>NatSIP</w:t>
            </w:r>
            <w:proofErr w:type="spellEnd"/>
          </w:p>
        </w:tc>
        <w:tc>
          <w:tcPr>
            <w:tcW w:w="8056" w:type="dxa"/>
          </w:tcPr>
          <w:p w14:paraId="1B8C15E8" w14:textId="77777777" w:rsidR="00D93443" w:rsidRPr="00D93443" w:rsidRDefault="00D93443" w:rsidP="00D93443">
            <w:r w:rsidRPr="00D93443">
              <w:t>National Sensory Impairment Partnership</w:t>
            </w:r>
          </w:p>
        </w:tc>
      </w:tr>
      <w:tr w:rsidR="00D93443" w:rsidRPr="00D93443" w14:paraId="3DAC9798" w14:textId="77777777">
        <w:trPr>
          <w:trHeight w:val="481"/>
        </w:trPr>
        <w:tc>
          <w:tcPr>
            <w:tcW w:w="1497" w:type="dxa"/>
          </w:tcPr>
          <w:p w14:paraId="3E927C05" w14:textId="77777777" w:rsidR="00D93443" w:rsidRPr="00D93443" w:rsidRDefault="00D93443" w:rsidP="00D93443">
            <w:pPr>
              <w:rPr>
                <w:b/>
              </w:rPr>
            </w:pPr>
            <w:r w:rsidRPr="00D93443">
              <w:rPr>
                <w:b/>
              </w:rPr>
              <w:t>QTMSI</w:t>
            </w:r>
          </w:p>
        </w:tc>
        <w:tc>
          <w:tcPr>
            <w:tcW w:w="8056" w:type="dxa"/>
          </w:tcPr>
          <w:p w14:paraId="14ACA116" w14:textId="77777777" w:rsidR="00D93443" w:rsidRPr="00D93443" w:rsidRDefault="00D93443" w:rsidP="00D93443">
            <w:r w:rsidRPr="00D93443">
              <w:t>Qualified Teacher of children and young people with Multi-Sensory Impairment</w:t>
            </w:r>
          </w:p>
        </w:tc>
      </w:tr>
      <w:tr w:rsidR="00D93443" w:rsidRPr="00D93443" w14:paraId="2C9AD359" w14:textId="77777777">
        <w:trPr>
          <w:trHeight w:val="481"/>
        </w:trPr>
        <w:tc>
          <w:tcPr>
            <w:tcW w:w="1497" w:type="dxa"/>
          </w:tcPr>
          <w:p w14:paraId="21406A74" w14:textId="77777777" w:rsidR="00D93443" w:rsidRPr="00D93443" w:rsidRDefault="00D93443" w:rsidP="00D93443">
            <w:pPr>
              <w:rPr>
                <w:b/>
              </w:rPr>
            </w:pPr>
            <w:proofErr w:type="spellStart"/>
            <w:r w:rsidRPr="00D93443">
              <w:rPr>
                <w:b/>
              </w:rPr>
              <w:t>QToD</w:t>
            </w:r>
            <w:proofErr w:type="spellEnd"/>
          </w:p>
        </w:tc>
        <w:tc>
          <w:tcPr>
            <w:tcW w:w="8056" w:type="dxa"/>
          </w:tcPr>
          <w:p w14:paraId="3F409B83" w14:textId="77777777" w:rsidR="00D93443" w:rsidRPr="00D93443" w:rsidRDefault="00D93443" w:rsidP="00D93443">
            <w:r w:rsidRPr="00D93443">
              <w:t>Qualified Teacher of the Deaf</w:t>
            </w:r>
          </w:p>
        </w:tc>
      </w:tr>
      <w:tr w:rsidR="00D93443" w:rsidRPr="00D93443" w14:paraId="2C7C67E1" w14:textId="77777777">
        <w:trPr>
          <w:trHeight w:val="492"/>
        </w:trPr>
        <w:tc>
          <w:tcPr>
            <w:tcW w:w="1497" w:type="dxa"/>
          </w:tcPr>
          <w:p w14:paraId="4AAAC03E" w14:textId="77777777" w:rsidR="00D93443" w:rsidRPr="00D93443" w:rsidRDefault="00D93443" w:rsidP="00D93443">
            <w:pPr>
              <w:rPr>
                <w:b/>
              </w:rPr>
            </w:pPr>
            <w:r w:rsidRPr="00D93443">
              <w:rPr>
                <w:b/>
              </w:rPr>
              <w:t>QTVI</w:t>
            </w:r>
          </w:p>
        </w:tc>
        <w:tc>
          <w:tcPr>
            <w:tcW w:w="8056" w:type="dxa"/>
          </w:tcPr>
          <w:p w14:paraId="139DEC3C" w14:textId="77777777" w:rsidR="00D93443" w:rsidRPr="00D93443" w:rsidRDefault="00D93443" w:rsidP="00D93443">
            <w:r w:rsidRPr="00D93443">
              <w:t>Qualified Teacher of children and young people with Vision Impairment</w:t>
            </w:r>
          </w:p>
        </w:tc>
      </w:tr>
      <w:tr w:rsidR="00D93443" w:rsidRPr="00D93443" w14:paraId="55357F5E" w14:textId="77777777">
        <w:trPr>
          <w:trHeight w:val="481"/>
        </w:trPr>
        <w:tc>
          <w:tcPr>
            <w:tcW w:w="1497" w:type="dxa"/>
          </w:tcPr>
          <w:p w14:paraId="3BA9F16A" w14:textId="77777777" w:rsidR="00D93443" w:rsidRPr="00D93443" w:rsidRDefault="00D93443" w:rsidP="00D93443">
            <w:pPr>
              <w:rPr>
                <w:b/>
              </w:rPr>
            </w:pPr>
            <w:r w:rsidRPr="00D93443">
              <w:rPr>
                <w:b/>
              </w:rPr>
              <w:t>SEN</w:t>
            </w:r>
          </w:p>
        </w:tc>
        <w:tc>
          <w:tcPr>
            <w:tcW w:w="8056" w:type="dxa"/>
          </w:tcPr>
          <w:p w14:paraId="019F3EB6" w14:textId="77777777" w:rsidR="00D93443" w:rsidRPr="00D93443" w:rsidRDefault="00D93443" w:rsidP="00D93443">
            <w:r w:rsidRPr="00D93443">
              <w:t>Special Educational Needs</w:t>
            </w:r>
          </w:p>
        </w:tc>
      </w:tr>
      <w:tr w:rsidR="00D93443" w:rsidRPr="00D93443" w14:paraId="0E02552E" w14:textId="77777777">
        <w:trPr>
          <w:trHeight w:val="833"/>
        </w:trPr>
        <w:tc>
          <w:tcPr>
            <w:tcW w:w="1497" w:type="dxa"/>
          </w:tcPr>
          <w:p w14:paraId="00641C49" w14:textId="77777777" w:rsidR="00D93443" w:rsidRPr="00D93443" w:rsidRDefault="00D93443" w:rsidP="00D93443">
            <w:pPr>
              <w:rPr>
                <w:b/>
              </w:rPr>
            </w:pPr>
            <w:r w:rsidRPr="00D93443">
              <w:rPr>
                <w:b/>
              </w:rPr>
              <w:t>SEND</w:t>
            </w:r>
          </w:p>
        </w:tc>
        <w:tc>
          <w:tcPr>
            <w:tcW w:w="8056" w:type="dxa"/>
          </w:tcPr>
          <w:p w14:paraId="1B9DC103" w14:textId="77777777" w:rsidR="00D93443" w:rsidRPr="00D93443" w:rsidRDefault="00D93443" w:rsidP="00D93443">
            <w:r w:rsidRPr="00D93443">
              <w:t>Special Educational Needs and Disabilities</w:t>
            </w:r>
          </w:p>
        </w:tc>
      </w:tr>
      <w:tr w:rsidR="00D93443" w:rsidRPr="00D93443" w14:paraId="1961E018" w14:textId="77777777">
        <w:trPr>
          <w:trHeight w:val="833"/>
        </w:trPr>
        <w:tc>
          <w:tcPr>
            <w:tcW w:w="1497" w:type="dxa"/>
          </w:tcPr>
          <w:p w14:paraId="0A8A7359" w14:textId="77777777" w:rsidR="00D93443" w:rsidRPr="00D93443" w:rsidRDefault="00D93443" w:rsidP="00D93443">
            <w:pPr>
              <w:rPr>
                <w:b/>
              </w:rPr>
            </w:pPr>
            <w:r w:rsidRPr="00D93443">
              <w:rPr>
                <w:b/>
              </w:rPr>
              <w:t>TA</w:t>
            </w:r>
          </w:p>
        </w:tc>
        <w:tc>
          <w:tcPr>
            <w:tcW w:w="8056" w:type="dxa"/>
          </w:tcPr>
          <w:p w14:paraId="7C77C232" w14:textId="77777777" w:rsidR="00D93443" w:rsidRPr="00D93443" w:rsidRDefault="00D93443" w:rsidP="00D93443">
            <w:r w:rsidRPr="00D93443">
              <w:t>Teaching Assistant</w:t>
            </w:r>
          </w:p>
        </w:tc>
      </w:tr>
      <w:tr w:rsidR="00D93443" w:rsidRPr="00D93443" w14:paraId="3E4B6DA1" w14:textId="77777777">
        <w:trPr>
          <w:trHeight w:val="481"/>
        </w:trPr>
        <w:tc>
          <w:tcPr>
            <w:tcW w:w="1497" w:type="dxa"/>
          </w:tcPr>
          <w:p w14:paraId="5ADEA9CC" w14:textId="77777777" w:rsidR="00D93443" w:rsidRPr="00D93443" w:rsidRDefault="00D93443" w:rsidP="00D93443">
            <w:pPr>
              <w:rPr>
                <w:b/>
              </w:rPr>
            </w:pPr>
            <w:r w:rsidRPr="00D93443">
              <w:rPr>
                <w:b/>
              </w:rPr>
              <w:t>VI</w:t>
            </w:r>
          </w:p>
        </w:tc>
        <w:tc>
          <w:tcPr>
            <w:tcW w:w="8056" w:type="dxa"/>
          </w:tcPr>
          <w:p w14:paraId="2B24CFFA" w14:textId="77777777" w:rsidR="00D93443" w:rsidRPr="00D93443" w:rsidRDefault="00D93443" w:rsidP="00D93443">
            <w:r w:rsidRPr="00D93443">
              <w:t>Vision Impairment</w:t>
            </w:r>
          </w:p>
        </w:tc>
      </w:tr>
    </w:tbl>
    <w:p w14:paraId="04727647" w14:textId="241ED79C" w:rsidR="00C6380E" w:rsidRPr="00C6380E" w:rsidRDefault="00836C85" w:rsidP="00C6380E">
      <w:r>
        <w:br w:type="page"/>
      </w:r>
    </w:p>
    <w:p w14:paraId="28502E26" w14:textId="518E1490" w:rsidR="003D0B3C" w:rsidRPr="00AE799A" w:rsidRDefault="003D0B3C" w:rsidP="003D0B3C">
      <w:pPr>
        <w:pStyle w:val="Heading1"/>
        <w:rPr>
          <w:specVanish/>
        </w:rPr>
      </w:pPr>
      <w:bookmarkStart w:id="18" w:name="_Toc131585359"/>
      <w:bookmarkStart w:id="19" w:name="_Toc866196835"/>
      <w:r>
        <w:lastRenderedPageBreak/>
        <w:t xml:space="preserve">Executive </w:t>
      </w:r>
      <w:r w:rsidRPr="00964E39">
        <w:t>Summary</w:t>
      </w:r>
      <w:bookmarkEnd w:id="1"/>
      <w:bookmarkEnd w:id="2"/>
      <w:bookmarkEnd w:id="3"/>
      <w:bookmarkEnd w:id="4"/>
      <w:bookmarkEnd w:id="18"/>
      <w:bookmarkEnd w:id="19"/>
      <w:r w:rsidRPr="00964E39">
        <w:t xml:space="preserve">  </w:t>
      </w:r>
    </w:p>
    <w:p w14:paraId="1E2FB69B" w14:textId="77777777" w:rsidR="006B688C" w:rsidRDefault="006B688C" w:rsidP="003644CE"/>
    <w:p w14:paraId="6752AF46" w14:textId="1B22B969" w:rsidR="003644CE" w:rsidRPr="003644CE" w:rsidRDefault="003644CE" w:rsidP="003644CE">
      <w:r w:rsidRPr="003644CE">
        <w:t>Specialist support for children and young people with vision impairment (VI) is vital to enable equitable access to education.</w:t>
      </w:r>
    </w:p>
    <w:p w14:paraId="62AF699D" w14:textId="77777777" w:rsidR="003644CE" w:rsidRPr="003644CE" w:rsidRDefault="003644CE" w:rsidP="003644CE"/>
    <w:p w14:paraId="34BA2785" w14:textId="040542BE" w:rsidR="00417F24" w:rsidRDefault="003644CE" w:rsidP="009D418E">
      <w:pPr>
        <w:rPr>
          <w:rFonts w:eastAsia="Arial" w:cs="Arial"/>
          <w:szCs w:val="28"/>
        </w:rPr>
      </w:pPr>
      <w:r w:rsidRPr="6AECEF65">
        <w:rPr>
          <w:rFonts w:eastAsia="Arial" w:cs="Arial"/>
          <w:szCs w:val="28"/>
        </w:rPr>
        <w:t xml:space="preserve">Our Freedom of Information (FOI) request highlights </w:t>
      </w:r>
      <w:r w:rsidR="68654997" w:rsidRPr="6AECEF65">
        <w:rPr>
          <w:rFonts w:eastAsia="Arial" w:cs="Arial"/>
          <w:szCs w:val="28"/>
        </w:rPr>
        <w:t xml:space="preserve">that, without adequate funding for </w:t>
      </w:r>
      <w:r w:rsidRPr="6AECEF65">
        <w:rPr>
          <w:rFonts w:eastAsia="Arial" w:cs="Arial"/>
          <w:szCs w:val="28"/>
        </w:rPr>
        <w:t xml:space="preserve">specialist VI </w:t>
      </w:r>
      <w:r w:rsidR="68654997" w:rsidRPr="6AECEF65">
        <w:rPr>
          <w:rFonts w:eastAsia="Arial" w:cs="Arial"/>
          <w:szCs w:val="28"/>
        </w:rPr>
        <w:t xml:space="preserve">services, or </w:t>
      </w:r>
      <w:r w:rsidRPr="6AECEF65">
        <w:rPr>
          <w:rFonts w:eastAsia="Arial" w:cs="Arial"/>
          <w:szCs w:val="28"/>
        </w:rPr>
        <w:t xml:space="preserve">a clear strategy for the delivery of habilitation support, there is </w:t>
      </w:r>
      <w:r w:rsidR="68654997" w:rsidRPr="6AECEF65">
        <w:rPr>
          <w:rFonts w:eastAsia="Arial" w:cs="Arial"/>
          <w:szCs w:val="28"/>
        </w:rPr>
        <w:t>a real risk that</w:t>
      </w:r>
      <w:r w:rsidRPr="6AECEF65">
        <w:rPr>
          <w:rFonts w:eastAsia="Arial" w:cs="Arial"/>
          <w:szCs w:val="28"/>
        </w:rPr>
        <w:t xml:space="preserve"> some children and young people with VI </w:t>
      </w:r>
      <w:r w:rsidR="68654997" w:rsidRPr="6AECEF65">
        <w:rPr>
          <w:rFonts w:eastAsia="Arial" w:cs="Arial"/>
          <w:szCs w:val="28"/>
        </w:rPr>
        <w:t xml:space="preserve">in Northern Ireland are not receiving the </w:t>
      </w:r>
      <w:r w:rsidRPr="6AECEF65">
        <w:rPr>
          <w:rFonts w:eastAsia="Arial" w:cs="Arial"/>
          <w:szCs w:val="28"/>
        </w:rPr>
        <w:t xml:space="preserve">support they need </w:t>
      </w:r>
      <w:r w:rsidR="68654997" w:rsidRPr="6AECEF65">
        <w:rPr>
          <w:rFonts w:eastAsia="Arial" w:cs="Arial"/>
          <w:szCs w:val="28"/>
        </w:rPr>
        <w:t xml:space="preserve">to </w:t>
      </w:r>
      <w:r w:rsidRPr="6AECEF65">
        <w:rPr>
          <w:rFonts w:eastAsia="Arial" w:cs="Arial"/>
          <w:szCs w:val="28"/>
        </w:rPr>
        <w:t xml:space="preserve">access </w:t>
      </w:r>
      <w:r w:rsidR="68654997" w:rsidRPr="6AECEF65">
        <w:rPr>
          <w:rFonts w:eastAsia="Arial" w:cs="Arial"/>
          <w:szCs w:val="28"/>
        </w:rPr>
        <w:t>learning and achieve appropriate levels of independence.</w:t>
      </w:r>
    </w:p>
    <w:p w14:paraId="74058FBB" w14:textId="4B05B6AA" w:rsidR="6AECEF65" w:rsidRDefault="6AECEF65" w:rsidP="6AECEF65">
      <w:pPr>
        <w:rPr>
          <w:rFonts w:eastAsia="Arial" w:cs="Arial"/>
          <w:szCs w:val="28"/>
        </w:rPr>
      </w:pPr>
    </w:p>
    <w:p w14:paraId="39E216B8" w14:textId="1D9C3C86" w:rsidR="008423D3" w:rsidRDefault="007674C3" w:rsidP="00327BEE">
      <w:pPr>
        <w:pStyle w:val="Heading2"/>
      </w:pPr>
      <w:bookmarkStart w:id="20" w:name="_Toc1461486106"/>
      <w:r>
        <w:t>Key findings</w:t>
      </w:r>
      <w:bookmarkEnd w:id="20"/>
    </w:p>
    <w:p w14:paraId="734AE48D" w14:textId="5554AFE1" w:rsidR="00327BEE" w:rsidRPr="00BC0EDE" w:rsidRDefault="00327BEE" w:rsidP="00327BEE">
      <w:pPr>
        <w:rPr>
          <w:b/>
          <w:bCs/>
        </w:rPr>
      </w:pPr>
      <w:r w:rsidRPr="00BC0EDE">
        <w:rPr>
          <w:b/>
          <w:bCs/>
        </w:rPr>
        <w:t xml:space="preserve">Demonstrating best practice - adoption of the Curriculum Framework for children and young people with </w:t>
      </w:r>
      <w:r w:rsidRPr="794F24C4">
        <w:rPr>
          <w:b/>
          <w:bCs/>
        </w:rPr>
        <w:t>V</w:t>
      </w:r>
      <w:r w:rsidR="126F6E89" w:rsidRPr="794F24C4">
        <w:rPr>
          <w:b/>
          <w:bCs/>
        </w:rPr>
        <w:t xml:space="preserve">ision </w:t>
      </w:r>
      <w:r w:rsidRPr="794F24C4">
        <w:rPr>
          <w:b/>
          <w:bCs/>
        </w:rPr>
        <w:t>I</w:t>
      </w:r>
      <w:r w:rsidR="1CC5B44B" w:rsidRPr="794F24C4">
        <w:rPr>
          <w:b/>
          <w:bCs/>
        </w:rPr>
        <w:t>mpairment</w:t>
      </w:r>
      <w:r w:rsidRPr="00BC0EDE">
        <w:rPr>
          <w:b/>
          <w:bCs/>
        </w:rPr>
        <w:t xml:space="preserve"> (CFVI)</w:t>
      </w:r>
    </w:p>
    <w:p w14:paraId="3A397147" w14:textId="2619E0F7" w:rsidR="00327BEE" w:rsidRPr="00327BEE" w:rsidRDefault="00327BEE" w:rsidP="008423D3">
      <w:r w:rsidRPr="00BC0EDE">
        <w:t>In line with current best practice, the Education Authority VI service is in the process of embedding the CFVI in normal working practices.</w:t>
      </w:r>
    </w:p>
    <w:p w14:paraId="4391BFC4" w14:textId="77777777" w:rsidR="00327BEE" w:rsidRDefault="00327BEE" w:rsidP="008423D3">
      <w:pPr>
        <w:rPr>
          <w:b/>
          <w:bCs/>
        </w:rPr>
      </w:pPr>
    </w:p>
    <w:p w14:paraId="318E7480" w14:textId="7F3F89AD" w:rsidR="008423D3" w:rsidRPr="00B81267" w:rsidRDefault="008423D3" w:rsidP="008423D3">
      <w:pPr>
        <w:rPr>
          <w:b/>
          <w:bCs/>
        </w:rPr>
      </w:pPr>
      <w:r w:rsidRPr="00B81267">
        <w:rPr>
          <w:b/>
          <w:bCs/>
        </w:rPr>
        <w:t xml:space="preserve">Budget - need for adequate and sustainable </w:t>
      </w:r>
      <w:proofErr w:type="gramStart"/>
      <w:r w:rsidRPr="00B81267">
        <w:rPr>
          <w:b/>
          <w:bCs/>
        </w:rPr>
        <w:t>funding</w:t>
      </w:r>
      <w:proofErr w:type="gramEnd"/>
    </w:p>
    <w:p w14:paraId="41181C4E" w14:textId="77777777" w:rsidR="008423D3" w:rsidRDefault="008423D3" w:rsidP="008423D3">
      <w:r>
        <w:t>The budget for the Education Authority VI service shows significant variation over the last three years.</w:t>
      </w:r>
    </w:p>
    <w:p w14:paraId="5502B2F4" w14:textId="77777777" w:rsidR="008423D3" w:rsidRDefault="008423D3" w:rsidP="008423D3"/>
    <w:p w14:paraId="63981394" w14:textId="77777777" w:rsidR="008423D3" w:rsidRPr="00B81267" w:rsidRDefault="008423D3" w:rsidP="008423D3">
      <w:pPr>
        <w:rPr>
          <w:b/>
          <w:bCs/>
        </w:rPr>
      </w:pPr>
      <w:r w:rsidRPr="00B81267">
        <w:rPr>
          <w:b/>
          <w:bCs/>
        </w:rPr>
        <w:t xml:space="preserve">High caseloads - putting pressure on specialist </w:t>
      </w:r>
      <w:proofErr w:type="gramStart"/>
      <w:r w:rsidRPr="00B81267">
        <w:rPr>
          <w:b/>
          <w:bCs/>
        </w:rPr>
        <w:t>services</w:t>
      </w:r>
      <w:proofErr w:type="gramEnd"/>
    </w:p>
    <w:p w14:paraId="5C3405E8" w14:textId="516ACDF0" w:rsidR="008423D3" w:rsidRDefault="008423D3" w:rsidP="008423D3">
      <w:pPr>
        <w:pStyle w:val="ListBullet"/>
      </w:pPr>
      <w:r>
        <w:t xml:space="preserve">Specialist teachers for vision impairment and multi-sensory impairment have average caseloads of </w:t>
      </w:r>
      <w:r w:rsidR="5C7D274B">
        <w:t>59 or more</w:t>
      </w:r>
      <w:r>
        <w:t xml:space="preserve"> children and young people with VI.</w:t>
      </w:r>
    </w:p>
    <w:p w14:paraId="52D379C2" w14:textId="77777777" w:rsidR="008423D3" w:rsidRDefault="008423D3" w:rsidP="008423D3">
      <w:pPr>
        <w:pStyle w:val="ListBullet"/>
      </w:pPr>
      <w:r>
        <w:t>The proportion of children and young people with VI who are statemented has risen by 7% in the last year.</w:t>
      </w:r>
    </w:p>
    <w:p w14:paraId="15F2F792" w14:textId="77777777" w:rsidR="008423D3" w:rsidRDefault="008423D3" w:rsidP="008423D3"/>
    <w:p w14:paraId="25106BB1" w14:textId="77777777" w:rsidR="008423D3" w:rsidRPr="00B81267" w:rsidRDefault="008423D3" w:rsidP="008423D3">
      <w:pPr>
        <w:rPr>
          <w:b/>
          <w:bCs/>
        </w:rPr>
      </w:pPr>
      <w:r w:rsidRPr="00B81267">
        <w:rPr>
          <w:b/>
          <w:bCs/>
        </w:rPr>
        <w:t xml:space="preserve">Habilitation support - lacking in educational </w:t>
      </w:r>
      <w:proofErr w:type="gramStart"/>
      <w:r w:rsidRPr="00B81267">
        <w:rPr>
          <w:b/>
          <w:bCs/>
        </w:rPr>
        <w:t>settings</w:t>
      </w:r>
      <w:proofErr w:type="gramEnd"/>
    </w:p>
    <w:p w14:paraId="02001C01" w14:textId="77777777" w:rsidR="008423D3" w:rsidRDefault="008423D3" w:rsidP="008423D3">
      <w:r>
        <w:t>Only 2% of children and young people with VI on the Education Authority active caseload are reported to be accessing specialist habilitation services in their educational setting.</w:t>
      </w:r>
    </w:p>
    <w:p w14:paraId="267E8ED5" w14:textId="77777777" w:rsidR="007674C3" w:rsidRDefault="007674C3" w:rsidP="00836C85"/>
    <w:p w14:paraId="4AB45DA0" w14:textId="7720D02C" w:rsidR="002D0C5E" w:rsidRPr="00731377" w:rsidRDefault="002D0C5E" w:rsidP="002D0C5E">
      <w:pPr>
        <w:pStyle w:val="Heading1"/>
      </w:pPr>
      <w:bookmarkStart w:id="21" w:name="_Toc131585361"/>
      <w:bookmarkStart w:id="22" w:name="_Toc1871924442"/>
      <w:r>
        <w:lastRenderedPageBreak/>
        <w:t xml:space="preserve">1 </w:t>
      </w:r>
      <w:bookmarkStart w:id="23" w:name="_Toc128143885"/>
      <w:bookmarkStart w:id="24" w:name="_Toc128660336"/>
      <w:bookmarkStart w:id="25" w:name="_Toc129166503"/>
      <w:bookmarkStart w:id="26" w:name="_Toc129166926"/>
      <w:r w:rsidRPr="00731377">
        <w:t>Introduction</w:t>
      </w:r>
      <w:bookmarkEnd w:id="21"/>
      <w:bookmarkEnd w:id="22"/>
      <w:bookmarkEnd w:id="23"/>
      <w:bookmarkEnd w:id="24"/>
      <w:bookmarkEnd w:id="25"/>
      <w:bookmarkEnd w:id="26"/>
    </w:p>
    <w:p w14:paraId="466AAA29" w14:textId="47535319" w:rsidR="00851EA7" w:rsidRDefault="002D0C5E" w:rsidP="002D0C5E">
      <w:r>
        <w:t xml:space="preserve">Provision for specialist educational support for children </w:t>
      </w:r>
      <w:r w:rsidR="00E21785">
        <w:t xml:space="preserve">and young people </w:t>
      </w:r>
      <w:r>
        <w:t xml:space="preserve">with VI is essential to ensure they are not disadvantaged in their education. </w:t>
      </w:r>
      <w:proofErr w:type="gramStart"/>
      <w:r>
        <w:t>In order to</w:t>
      </w:r>
      <w:proofErr w:type="gramEnd"/>
      <w:r>
        <w:t xml:space="preserve"> better understand, monitor and track trends over </w:t>
      </w:r>
      <w:r w:rsidR="0014237B">
        <w:t>time</w:t>
      </w:r>
      <w:r>
        <w:t xml:space="preserve"> in the provision of specialist education services for children </w:t>
      </w:r>
      <w:r w:rsidR="00E21785">
        <w:t xml:space="preserve">and young people </w:t>
      </w:r>
      <w:r>
        <w:t xml:space="preserve">with </w:t>
      </w:r>
      <w:r w:rsidR="00625736">
        <w:t>VI</w:t>
      </w:r>
      <w:r>
        <w:t xml:space="preserve">, </w:t>
      </w:r>
      <w:r w:rsidRPr="004E40CC">
        <w:t xml:space="preserve">RNIB </w:t>
      </w:r>
      <w:r w:rsidRPr="005F5971">
        <w:t>Northern Ireland</w:t>
      </w:r>
      <w:r w:rsidRPr="004E40CC">
        <w:t xml:space="preserve"> has</w:t>
      </w:r>
      <w:r>
        <w:t xml:space="preserve"> decided to </w:t>
      </w:r>
      <w:r w:rsidR="00265FA6">
        <w:t>issue</w:t>
      </w:r>
      <w:r>
        <w:t xml:space="preserve"> an annual </w:t>
      </w:r>
      <w:r w:rsidR="00851EA7">
        <w:t>FOI request to</w:t>
      </w:r>
      <w:r>
        <w:t xml:space="preserve"> the Education Authority.</w:t>
      </w:r>
    </w:p>
    <w:p w14:paraId="455C74A1" w14:textId="16859919" w:rsidR="008423D3" w:rsidRDefault="008423D3">
      <w:pPr>
        <w:rPr>
          <w:b/>
          <w:kern w:val="32"/>
          <w:sz w:val="44"/>
          <w:szCs w:val="44"/>
        </w:rPr>
      </w:pPr>
      <w:bookmarkStart w:id="27" w:name="_Toc121145321"/>
      <w:bookmarkStart w:id="28" w:name="_Toc131585362"/>
    </w:p>
    <w:p w14:paraId="2385ECA4" w14:textId="56ACFC6B" w:rsidR="00851EA7" w:rsidRDefault="006A0CE1" w:rsidP="00192F5B">
      <w:pPr>
        <w:pStyle w:val="Heading1"/>
      </w:pPr>
      <w:bookmarkStart w:id="29" w:name="_Toc1646525668"/>
      <w:r>
        <w:t xml:space="preserve">2 </w:t>
      </w:r>
      <w:bookmarkStart w:id="30" w:name="_Toc128143890"/>
      <w:bookmarkStart w:id="31" w:name="_Toc128660341"/>
      <w:bookmarkStart w:id="32" w:name="_Toc129166508"/>
      <w:bookmarkStart w:id="33" w:name="_Toc129166931"/>
      <w:r w:rsidRPr="00F30144">
        <w:t>Method</w:t>
      </w:r>
      <w:bookmarkEnd w:id="27"/>
      <w:bookmarkEnd w:id="28"/>
      <w:bookmarkEnd w:id="29"/>
      <w:bookmarkEnd w:id="30"/>
      <w:bookmarkEnd w:id="31"/>
      <w:bookmarkEnd w:id="32"/>
      <w:bookmarkEnd w:id="33"/>
    </w:p>
    <w:p w14:paraId="283AE8FD" w14:textId="6B9A2776" w:rsidR="00016E65" w:rsidRDefault="00016E65" w:rsidP="00016E65">
      <w:r>
        <w:t>In October 202</w:t>
      </w:r>
      <w:r w:rsidR="00E21785">
        <w:t>3</w:t>
      </w:r>
      <w:r>
        <w:t>, RNIB Northern Ireland contacted the Education Authority in Northern Ireland</w:t>
      </w:r>
      <w:r w:rsidR="006529BE">
        <w:t xml:space="preserve"> and Jordanstown Outreach Service</w:t>
      </w:r>
      <w:r>
        <w:t xml:space="preserve"> asking a range of questions about current and future education provision for children and young people with </w:t>
      </w:r>
      <w:r w:rsidR="00F741A5">
        <w:t>VI</w:t>
      </w:r>
      <w:r>
        <w:t xml:space="preserve">. </w:t>
      </w:r>
    </w:p>
    <w:p w14:paraId="7708EFB9" w14:textId="77777777" w:rsidR="00016E65" w:rsidRDefault="00016E65" w:rsidP="00016E65"/>
    <w:p w14:paraId="2CE186CB" w14:textId="77777777" w:rsidR="00016E65" w:rsidRPr="006209D3" w:rsidRDefault="00016E65" w:rsidP="00016E65">
      <w:pPr>
        <w:spacing w:after="240"/>
      </w:pPr>
      <w:r w:rsidRPr="006209D3">
        <w:t>The FOI request to the Education Authority covered the following:</w:t>
      </w:r>
    </w:p>
    <w:p w14:paraId="62FCD384" w14:textId="074B1E3F" w:rsidR="00016E65" w:rsidRPr="006209D3" w:rsidRDefault="00016E65" w:rsidP="00016E65">
      <w:pPr>
        <w:numPr>
          <w:ilvl w:val="0"/>
          <w:numId w:val="11"/>
        </w:numPr>
        <w:spacing w:after="120"/>
        <w:ind w:left="714" w:hanging="357"/>
      </w:pPr>
      <w:r w:rsidRPr="006209D3">
        <w:t xml:space="preserve">Organisation and funding of </w:t>
      </w:r>
      <w:r w:rsidR="00FF13FB">
        <w:t xml:space="preserve">the </w:t>
      </w:r>
      <w:r w:rsidRPr="006209D3">
        <w:t>Education VI Advisory service</w:t>
      </w:r>
    </w:p>
    <w:p w14:paraId="184B4A85" w14:textId="77777777" w:rsidR="00016E65" w:rsidRPr="006209D3" w:rsidRDefault="00016E65" w:rsidP="00016E65">
      <w:pPr>
        <w:numPr>
          <w:ilvl w:val="0"/>
          <w:numId w:val="11"/>
        </w:numPr>
        <w:spacing w:after="120"/>
        <w:ind w:left="714" w:hanging="357"/>
      </w:pPr>
      <w:r w:rsidRPr="006209D3">
        <w:t>Structuring of services</w:t>
      </w:r>
    </w:p>
    <w:p w14:paraId="1B768272" w14:textId="4C8A445D" w:rsidR="00016E65" w:rsidRPr="006209D3" w:rsidRDefault="00016E65" w:rsidP="00016E65">
      <w:pPr>
        <w:numPr>
          <w:ilvl w:val="0"/>
          <w:numId w:val="11"/>
        </w:numPr>
        <w:spacing w:after="120"/>
        <w:ind w:left="714" w:hanging="357"/>
      </w:pPr>
      <w:r w:rsidRPr="006209D3">
        <w:t xml:space="preserve">Number of </w:t>
      </w:r>
      <w:r w:rsidR="00A93C0D">
        <w:t>children and young people</w:t>
      </w:r>
      <w:r w:rsidRPr="006209D3">
        <w:t xml:space="preserve"> on the VI service caseload and support available</w:t>
      </w:r>
    </w:p>
    <w:p w14:paraId="2C7716BF" w14:textId="6F6D73A8" w:rsidR="00016E65" w:rsidRPr="006209D3" w:rsidRDefault="00016E65" w:rsidP="00016E65">
      <w:pPr>
        <w:numPr>
          <w:ilvl w:val="0"/>
          <w:numId w:val="11"/>
        </w:numPr>
        <w:spacing w:after="120"/>
        <w:ind w:left="714" w:hanging="357"/>
      </w:pPr>
      <w:r w:rsidRPr="006209D3">
        <w:t>VI service staffing</w:t>
      </w:r>
    </w:p>
    <w:p w14:paraId="4A95026C" w14:textId="77777777" w:rsidR="00C828B5" w:rsidRDefault="00016E65" w:rsidP="00C828B5">
      <w:pPr>
        <w:numPr>
          <w:ilvl w:val="0"/>
          <w:numId w:val="11"/>
        </w:numPr>
        <w:spacing w:after="120"/>
        <w:ind w:left="714" w:hanging="357"/>
      </w:pPr>
      <w:r w:rsidRPr="006209D3">
        <w:t>Habilitation support</w:t>
      </w:r>
    </w:p>
    <w:p w14:paraId="0F5D1E67" w14:textId="570657B8" w:rsidR="00836C85" w:rsidRDefault="005C5170" w:rsidP="00836C85">
      <w:pPr>
        <w:numPr>
          <w:ilvl w:val="0"/>
          <w:numId w:val="11"/>
        </w:numPr>
        <w:spacing w:after="120"/>
        <w:ind w:left="714" w:hanging="357"/>
      </w:pPr>
      <w:r>
        <w:t xml:space="preserve">Curriculum Framework for Children and Young People with </w:t>
      </w:r>
      <w:r w:rsidR="00016E65" w:rsidRPr="006209D3">
        <w:t>Vision Impairment</w:t>
      </w:r>
      <w:r>
        <w:t xml:space="preserve"> (CFVI)</w:t>
      </w:r>
    </w:p>
    <w:p w14:paraId="1AA8C125" w14:textId="4331C9E4" w:rsidR="00836C85" w:rsidRDefault="00836C85" w:rsidP="00836C85">
      <w:r>
        <w:br w:type="page"/>
      </w:r>
    </w:p>
    <w:p w14:paraId="32CEE097" w14:textId="4E32BE5A" w:rsidR="002D501C" w:rsidRPr="00F30144" w:rsidRDefault="002D501C" w:rsidP="002D501C">
      <w:pPr>
        <w:pStyle w:val="Heading1"/>
      </w:pPr>
      <w:bookmarkStart w:id="34" w:name="_Toc121145322"/>
      <w:bookmarkStart w:id="35" w:name="_Toc131585363"/>
      <w:bookmarkStart w:id="36" w:name="_Toc621420833"/>
      <w:r>
        <w:lastRenderedPageBreak/>
        <w:t xml:space="preserve">3 </w:t>
      </w:r>
      <w:bookmarkStart w:id="37" w:name="_Toc128143891"/>
      <w:bookmarkStart w:id="38" w:name="_Toc128660342"/>
      <w:bookmarkStart w:id="39" w:name="_Toc129166509"/>
      <w:bookmarkStart w:id="40" w:name="_Toc129166932"/>
      <w:r w:rsidRPr="00F30144">
        <w:t>Findings</w:t>
      </w:r>
      <w:bookmarkEnd w:id="34"/>
      <w:bookmarkEnd w:id="35"/>
      <w:bookmarkEnd w:id="36"/>
      <w:bookmarkEnd w:id="37"/>
      <w:bookmarkEnd w:id="38"/>
      <w:bookmarkEnd w:id="39"/>
      <w:bookmarkEnd w:id="40"/>
    </w:p>
    <w:p w14:paraId="458AC2B8" w14:textId="49AEA05A" w:rsidR="002D501C" w:rsidRDefault="002D501C" w:rsidP="002D501C">
      <w:pPr>
        <w:pStyle w:val="Heading2"/>
        <w:spacing w:before="240"/>
      </w:pPr>
      <w:bookmarkStart w:id="41" w:name="_Toc128143892"/>
      <w:bookmarkStart w:id="42" w:name="_Toc128660343"/>
      <w:bookmarkStart w:id="43" w:name="_Toc129166510"/>
      <w:bookmarkStart w:id="44" w:name="_Toc129166933"/>
      <w:bookmarkStart w:id="45" w:name="_Toc121145323"/>
      <w:bookmarkStart w:id="46" w:name="_Toc131585364"/>
      <w:bookmarkStart w:id="47" w:name="_Toc1831006154"/>
      <w:r>
        <w:t>3.1 Organisation and Funding</w:t>
      </w:r>
      <w:bookmarkEnd w:id="41"/>
      <w:bookmarkEnd w:id="42"/>
      <w:bookmarkEnd w:id="43"/>
      <w:bookmarkEnd w:id="44"/>
      <w:bookmarkEnd w:id="45"/>
      <w:bookmarkEnd w:id="46"/>
      <w:bookmarkEnd w:id="47"/>
    </w:p>
    <w:p w14:paraId="775CD9B8" w14:textId="1D43DC68" w:rsidR="002D501C" w:rsidRPr="00AE799A" w:rsidRDefault="0089341F" w:rsidP="00AE799A">
      <w:pPr>
        <w:pStyle w:val="Heading3"/>
      </w:pPr>
      <w:bookmarkStart w:id="48" w:name="_Toc128143893"/>
      <w:bookmarkStart w:id="49" w:name="_Toc128660344"/>
      <w:bookmarkStart w:id="50" w:name="_Toc129166511"/>
      <w:bookmarkStart w:id="51" w:name="_Toc129166934"/>
      <w:bookmarkStart w:id="52" w:name="_Toc131585365"/>
      <w:bookmarkStart w:id="53" w:name="_Toc221569597"/>
      <w:r>
        <w:t xml:space="preserve">3.1.1 </w:t>
      </w:r>
      <w:r w:rsidR="002D501C" w:rsidRPr="00AE799A">
        <w:t>Funding arrangement</w:t>
      </w:r>
      <w:bookmarkEnd w:id="48"/>
      <w:bookmarkEnd w:id="49"/>
      <w:bookmarkEnd w:id="50"/>
      <w:bookmarkEnd w:id="51"/>
      <w:bookmarkEnd w:id="52"/>
      <w:bookmarkEnd w:id="53"/>
    </w:p>
    <w:p w14:paraId="40194F9F" w14:textId="30728243" w:rsidR="002D501C" w:rsidRDefault="00E463B8" w:rsidP="002D501C">
      <w:r>
        <w:t>T</w:t>
      </w:r>
      <w:r w:rsidR="002D501C">
        <w:t>he Education Authority confirmed that provision</w:t>
      </w:r>
      <w:r w:rsidR="000F51D8">
        <w:t xml:space="preserve"> continues to be</w:t>
      </w:r>
      <w:r w:rsidR="002D501C">
        <w:t xml:space="preserve"> c</w:t>
      </w:r>
      <w:r w:rsidR="002D501C" w:rsidRPr="006209D3">
        <w:t>entrally funded for specialist support for all pupils with VI</w:t>
      </w:r>
      <w:r>
        <w:t xml:space="preserve"> in the financial year 2023/24</w:t>
      </w:r>
      <w:r w:rsidR="002D501C">
        <w:t>.</w:t>
      </w:r>
      <w:r>
        <w:t xml:space="preserve"> </w:t>
      </w:r>
    </w:p>
    <w:p w14:paraId="26105045" w14:textId="77777777" w:rsidR="002D501C" w:rsidRDefault="002D501C" w:rsidP="002D501C"/>
    <w:p w14:paraId="5AE421CF" w14:textId="61B2E4A0" w:rsidR="002D501C" w:rsidRPr="00AE799A" w:rsidRDefault="0089341F" w:rsidP="00AE799A">
      <w:pPr>
        <w:pStyle w:val="Heading3"/>
      </w:pPr>
      <w:bookmarkStart w:id="54" w:name="_Toc128143894"/>
      <w:bookmarkStart w:id="55" w:name="_Toc128660345"/>
      <w:bookmarkStart w:id="56" w:name="_Toc129166512"/>
      <w:bookmarkStart w:id="57" w:name="_Toc129166935"/>
      <w:bookmarkStart w:id="58" w:name="_Toc131585366"/>
      <w:bookmarkStart w:id="59" w:name="_Toc1076437183"/>
      <w:r>
        <w:t xml:space="preserve">3.1.2 </w:t>
      </w:r>
      <w:r w:rsidR="002D501C" w:rsidRPr="00AE799A">
        <w:t xml:space="preserve">Service </w:t>
      </w:r>
      <w:r w:rsidR="0072432F">
        <w:t>s</w:t>
      </w:r>
      <w:r w:rsidR="002D501C" w:rsidRPr="00AE799A">
        <w:t xml:space="preserve">tructure and </w:t>
      </w:r>
      <w:r w:rsidR="0072432F">
        <w:t>c</w:t>
      </w:r>
      <w:r w:rsidR="002D501C" w:rsidRPr="00AE799A">
        <w:t>hanges to provision</w:t>
      </w:r>
      <w:bookmarkEnd w:id="54"/>
      <w:bookmarkEnd w:id="55"/>
      <w:bookmarkEnd w:id="56"/>
      <w:bookmarkEnd w:id="57"/>
      <w:bookmarkEnd w:id="58"/>
      <w:bookmarkEnd w:id="59"/>
    </w:p>
    <w:p w14:paraId="67E92267" w14:textId="06A83EFE" w:rsidR="002D501C" w:rsidRDefault="002D501C" w:rsidP="002D501C">
      <w:pPr>
        <w:rPr>
          <w:lang w:eastAsia="en-GB"/>
        </w:rPr>
      </w:pPr>
      <w:r>
        <w:rPr>
          <w:lang w:eastAsia="en-GB"/>
        </w:rPr>
        <w:t xml:space="preserve">The service structure is a centralised specialist service. </w:t>
      </w:r>
    </w:p>
    <w:p w14:paraId="75D9BC21" w14:textId="77777777" w:rsidR="002D501C" w:rsidRDefault="002D501C" w:rsidP="002D501C">
      <w:pPr>
        <w:rPr>
          <w:lang w:eastAsia="en-GB"/>
        </w:rPr>
      </w:pPr>
    </w:p>
    <w:p w14:paraId="511D0183" w14:textId="663CF980" w:rsidR="00A533FC" w:rsidRDefault="002D501C" w:rsidP="002D501C">
      <w:pPr>
        <w:rPr>
          <w:lang w:eastAsia="en-GB"/>
        </w:rPr>
      </w:pPr>
      <w:r>
        <w:rPr>
          <w:lang w:eastAsia="en-GB"/>
        </w:rPr>
        <w:t xml:space="preserve">There had been no changes made in the last 12 months to the way provision for children and young people with </w:t>
      </w:r>
      <w:r w:rsidR="00F741A5">
        <w:rPr>
          <w:lang w:eastAsia="en-GB"/>
        </w:rPr>
        <w:t>VI</w:t>
      </w:r>
      <w:r>
        <w:rPr>
          <w:lang w:eastAsia="en-GB"/>
        </w:rPr>
        <w:t xml:space="preserve"> w</w:t>
      </w:r>
      <w:r w:rsidR="005C3D76">
        <w:rPr>
          <w:lang w:eastAsia="en-GB"/>
        </w:rPr>
        <w:t>as</w:t>
      </w:r>
      <w:r>
        <w:rPr>
          <w:lang w:eastAsia="en-GB"/>
        </w:rPr>
        <w:t xml:space="preserve"> funded. However, the</w:t>
      </w:r>
      <w:r w:rsidR="005C3D76">
        <w:rPr>
          <w:lang w:eastAsia="en-GB"/>
        </w:rPr>
        <w:t xml:space="preserve"> </w:t>
      </w:r>
      <w:r w:rsidR="00840615" w:rsidRPr="00F223AF">
        <w:rPr>
          <w:lang w:eastAsia="en-GB"/>
        </w:rPr>
        <w:t xml:space="preserve">Education Authority </w:t>
      </w:r>
      <w:r w:rsidR="00F223AF" w:rsidRPr="00F223AF">
        <w:rPr>
          <w:lang w:eastAsia="en-GB"/>
        </w:rPr>
        <w:t xml:space="preserve">Sensory Service is </w:t>
      </w:r>
      <w:r w:rsidR="00840615" w:rsidRPr="00F223AF">
        <w:rPr>
          <w:lang w:eastAsia="en-GB"/>
        </w:rPr>
        <w:t xml:space="preserve">currently </w:t>
      </w:r>
      <w:r w:rsidR="00F223AF" w:rsidRPr="00F223AF">
        <w:rPr>
          <w:lang w:eastAsia="en-GB"/>
        </w:rPr>
        <w:t xml:space="preserve">being reviewed as part of </w:t>
      </w:r>
      <w:r w:rsidR="00840615" w:rsidRPr="00F223AF">
        <w:rPr>
          <w:lang w:eastAsia="en-GB"/>
        </w:rPr>
        <w:t>the Special Educational Needs Transformation Programme.</w:t>
      </w:r>
    </w:p>
    <w:p w14:paraId="195CBEF4" w14:textId="04231659" w:rsidR="002D501C" w:rsidRDefault="002D501C" w:rsidP="002D501C">
      <w:pPr>
        <w:rPr>
          <w:lang w:eastAsia="en-GB"/>
        </w:rPr>
      </w:pPr>
      <w:r>
        <w:rPr>
          <w:lang w:eastAsia="en-GB"/>
        </w:rPr>
        <w:t xml:space="preserve"> </w:t>
      </w:r>
    </w:p>
    <w:p w14:paraId="4A4CB82D" w14:textId="7E22EBA3" w:rsidR="002D501C" w:rsidRPr="00B77A0A" w:rsidRDefault="003079CD" w:rsidP="00AE799A">
      <w:pPr>
        <w:pStyle w:val="Heading3"/>
      </w:pPr>
      <w:bookmarkStart w:id="60" w:name="_Toc131585367"/>
      <w:bookmarkStart w:id="61" w:name="_Toc1035785852"/>
      <w:r>
        <w:rPr>
          <w:lang w:eastAsia="en-GB"/>
        </w:rPr>
        <w:t xml:space="preserve">3.1.3 </w:t>
      </w:r>
      <w:bookmarkStart w:id="62" w:name="_Toc121145324"/>
      <w:bookmarkStart w:id="63" w:name="_Toc128143895"/>
      <w:bookmarkStart w:id="64" w:name="_Toc128660346"/>
      <w:bookmarkStart w:id="65" w:name="_Toc129166513"/>
      <w:bookmarkStart w:id="66" w:name="_Toc129166936"/>
      <w:r w:rsidR="002D501C">
        <w:t>Budget</w:t>
      </w:r>
      <w:bookmarkEnd w:id="60"/>
      <w:bookmarkEnd w:id="61"/>
      <w:bookmarkEnd w:id="62"/>
      <w:bookmarkEnd w:id="63"/>
      <w:bookmarkEnd w:id="64"/>
      <w:bookmarkEnd w:id="65"/>
      <w:bookmarkEnd w:id="66"/>
    </w:p>
    <w:p w14:paraId="307512BF" w14:textId="0B9E4A87" w:rsidR="00C2420E" w:rsidRDefault="002D501C" w:rsidP="002D501C">
      <w:r>
        <w:t>Table 1 below shows the overall VI service budget across three years: 2020/21, 2021/22</w:t>
      </w:r>
      <w:r w:rsidR="008423D3">
        <w:t>,</w:t>
      </w:r>
      <w:r>
        <w:t xml:space="preserve"> </w:t>
      </w:r>
      <w:r w:rsidR="00E51E15">
        <w:t>2022/23 and the budget to date for 2023/24 (th</w:t>
      </w:r>
      <w:r w:rsidR="007C5141">
        <w:t>e latter</w:t>
      </w:r>
      <w:r w:rsidR="00E51E15">
        <w:t xml:space="preserve"> </w:t>
      </w:r>
      <w:r w:rsidR="00FD6F4B">
        <w:t>does</w:t>
      </w:r>
      <w:r w:rsidR="00E51E15">
        <w:t xml:space="preserve"> not</w:t>
      </w:r>
      <w:r w:rsidR="00FD6F4B">
        <w:t xml:space="preserve"> represent</w:t>
      </w:r>
      <w:r w:rsidR="00E51E15">
        <w:t xml:space="preserve"> the whole year budget/actual spend).</w:t>
      </w:r>
    </w:p>
    <w:p w14:paraId="3A9907BC" w14:textId="70B522C5" w:rsidR="007D23AB" w:rsidRDefault="007D23AB" w:rsidP="002D501C">
      <w:r>
        <w:t>Note: these figures do not include funding for the services of 2 FTE QTVIs from the Jordanstown Outreach Service.</w:t>
      </w:r>
    </w:p>
    <w:p w14:paraId="1F1B2D7A" w14:textId="77777777" w:rsidR="002D501C" w:rsidRDefault="002D501C" w:rsidP="002D501C"/>
    <w:p w14:paraId="70AC70D1" w14:textId="77777777" w:rsidR="002D501C" w:rsidRPr="005F5971" w:rsidRDefault="002D501C" w:rsidP="00AE799A">
      <w:pPr>
        <w:spacing w:after="240"/>
        <w:rPr>
          <w:b/>
        </w:rPr>
      </w:pPr>
      <w:r w:rsidRPr="005F5971">
        <w:rPr>
          <w:b/>
        </w:rPr>
        <w:t xml:space="preserve">Table 1. </w:t>
      </w:r>
      <w:proofErr w:type="gramStart"/>
      <w:r w:rsidRPr="005F5971">
        <w:rPr>
          <w:b/>
        </w:rPr>
        <w:t>Overall</w:t>
      </w:r>
      <w:proofErr w:type="gramEnd"/>
      <w:r w:rsidRPr="005F5971">
        <w:rPr>
          <w:b/>
        </w:rPr>
        <w:t xml:space="preserve"> VI service budget across three years</w:t>
      </w:r>
    </w:p>
    <w:tbl>
      <w:tblPr>
        <w:tblStyle w:val="TableGrid"/>
        <w:tblW w:w="8926" w:type="dxa"/>
        <w:tblLook w:val="04A0" w:firstRow="1" w:lastRow="0" w:firstColumn="1" w:lastColumn="0" w:noHBand="0" w:noVBand="1"/>
      </w:tblPr>
      <w:tblGrid>
        <w:gridCol w:w="5382"/>
        <w:gridCol w:w="3544"/>
      </w:tblGrid>
      <w:tr w:rsidR="002D501C" w:rsidRPr="00835E0D" w14:paraId="716B6F6B" w14:textId="77777777" w:rsidTr="00583E98">
        <w:trPr>
          <w:trHeight w:val="390"/>
        </w:trPr>
        <w:tc>
          <w:tcPr>
            <w:tcW w:w="5382" w:type="dxa"/>
            <w:shd w:val="clear" w:color="auto" w:fill="auto"/>
            <w:hideMark/>
          </w:tcPr>
          <w:p w14:paraId="2270F76A" w14:textId="77777777" w:rsidR="002D501C" w:rsidRPr="00835E0D" w:rsidRDefault="002D501C">
            <w:pPr>
              <w:textAlignment w:val="baseline"/>
              <w:rPr>
                <w:rFonts w:ascii="Segoe UI" w:hAnsi="Segoe UI" w:cs="Segoe UI"/>
                <w:sz w:val="18"/>
                <w:szCs w:val="18"/>
                <w:lang w:eastAsia="en-GB"/>
              </w:rPr>
            </w:pPr>
            <w:proofErr w:type="gramStart"/>
            <w:r w:rsidRPr="00835E0D">
              <w:rPr>
                <w:rFonts w:cs="Arial"/>
                <w:b/>
                <w:bCs/>
                <w:color w:val="000000"/>
                <w:szCs w:val="28"/>
                <w:lang w:eastAsia="en-GB"/>
              </w:rPr>
              <w:t>Overall</w:t>
            </w:r>
            <w:proofErr w:type="gramEnd"/>
            <w:r w:rsidRPr="00835E0D">
              <w:rPr>
                <w:rFonts w:cs="Arial"/>
                <w:b/>
                <w:bCs/>
                <w:color w:val="000000"/>
                <w:szCs w:val="28"/>
                <w:lang w:eastAsia="en-GB"/>
              </w:rPr>
              <w:t xml:space="preserve"> VI service budget (including staff, equipment, and training)</w:t>
            </w:r>
            <w:r w:rsidRPr="00835E0D">
              <w:rPr>
                <w:rFonts w:cs="Arial"/>
                <w:color w:val="000000"/>
                <w:szCs w:val="28"/>
                <w:lang w:eastAsia="en-GB"/>
              </w:rPr>
              <w:t> </w:t>
            </w:r>
          </w:p>
        </w:tc>
        <w:tc>
          <w:tcPr>
            <w:tcW w:w="3544" w:type="dxa"/>
            <w:shd w:val="clear" w:color="auto" w:fill="auto"/>
            <w:vAlign w:val="center"/>
            <w:hideMark/>
          </w:tcPr>
          <w:p w14:paraId="62D07027" w14:textId="77777777" w:rsidR="002D501C" w:rsidRPr="005F5971" w:rsidRDefault="002D501C">
            <w:pPr>
              <w:jc w:val="center"/>
              <w:textAlignment w:val="baseline"/>
              <w:rPr>
                <w:rFonts w:ascii="Segoe UI" w:hAnsi="Segoe UI" w:cs="Segoe UI"/>
                <w:b/>
                <w:sz w:val="18"/>
                <w:szCs w:val="18"/>
                <w:lang w:eastAsia="en-GB"/>
              </w:rPr>
            </w:pPr>
            <w:r w:rsidRPr="005F5971">
              <w:rPr>
                <w:rFonts w:cs="Arial"/>
                <w:b/>
                <w:color w:val="000000"/>
                <w:szCs w:val="28"/>
                <w:lang w:eastAsia="en-GB"/>
              </w:rPr>
              <w:t>Budget </w:t>
            </w:r>
            <w:r>
              <w:rPr>
                <w:rFonts w:cs="Arial"/>
                <w:b/>
                <w:bCs/>
                <w:color w:val="000000"/>
                <w:szCs w:val="28"/>
                <w:lang w:eastAsia="en-GB"/>
              </w:rPr>
              <w:t>(£)</w:t>
            </w:r>
          </w:p>
        </w:tc>
      </w:tr>
      <w:tr w:rsidR="002D501C" w:rsidRPr="00835E0D" w14:paraId="1FDCA9CF" w14:textId="77777777" w:rsidTr="00AE799A">
        <w:trPr>
          <w:trHeight w:val="390"/>
        </w:trPr>
        <w:tc>
          <w:tcPr>
            <w:tcW w:w="5382" w:type="dxa"/>
            <w:hideMark/>
          </w:tcPr>
          <w:p w14:paraId="419E4140" w14:textId="77777777" w:rsidR="002D501C" w:rsidRPr="00835E0D" w:rsidRDefault="002D501C">
            <w:pPr>
              <w:textAlignment w:val="baseline"/>
              <w:rPr>
                <w:rFonts w:ascii="Segoe UI" w:hAnsi="Segoe UI" w:cs="Segoe UI"/>
                <w:sz w:val="18"/>
                <w:szCs w:val="18"/>
                <w:lang w:eastAsia="en-GB"/>
              </w:rPr>
            </w:pPr>
            <w:r w:rsidRPr="00835E0D">
              <w:rPr>
                <w:rFonts w:cs="Arial"/>
                <w:color w:val="000000"/>
                <w:szCs w:val="28"/>
                <w:lang w:eastAsia="en-GB"/>
              </w:rPr>
              <w:t>Budget for 2020/21 </w:t>
            </w:r>
          </w:p>
        </w:tc>
        <w:tc>
          <w:tcPr>
            <w:tcW w:w="3544" w:type="dxa"/>
            <w:hideMark/>
          </w:tcPr>
          <w:p w14:paraId="6F3A04F2" w14:textId="77777777" w:rsidR="002D501C" w:rsidRPr="00835E0D" w:rsidRDefault="002D501C">
            <w:pPr>
              <w:jc w:val="center"/>
              <w:textAlignment w:val="baseline"/>
              <w:rPr>
                <w:rFonts w:ascii="Segoe UI" w:hAnsi="Segoe UI" w:cs="Segoe UI"/>
                <w:sz w:val="18"/>
                <w:szCs w:val="18"/>
                <w:lang w:eastAsia="en-GB"/>
              </w:rPr>
            </w:pPr>
            <w:r w:rsidRPr="00835E0D">
              <w:rPr>
                <w:rFonts w:cs="Arial"/>
                <w:color w:val="000000"/>
                <w:szCs w:val="28"/>
                <w:lang w:eastAsia="en-GB"/>
              </w:rPr>
              <w:t>608,725 </w:t>
            </w:r>
          </w:p>
        </w:tc>
      </w:tr>
      <w:tr w:rsidR="002D501C" w:rsidRPr="00835E0D" w14:paraId="181E6D9C" w14:textId="77777777" w:rsidTr="00AE799A">
        <w:trPr>
          <w:trHeight w:val="390"/>
        </w:trPr>
        <w:tc>
          <w:tcPr>
            <w:tcW w:w="5382" w:type="dxa"/>
            <w:hideMark/>
          </w:tcPr>
          <w:p w14:paraId="6F6B2145" w14:textId="77777777" w:rsidR="002D501C" w:rsidRPr="00835E0D" w:rsidRDefault="002D501C">
            <w:pPr>
              <w:textAlignment w:val="baseline"/>
              <w:rPr>
                <w:rFonts w:ascii="Segoe UI" w:hAnsi="Segoe UI" w:cs="Segoe UI"/>
                <w:sz w:val="18"/>
                <w:szCs w:val="18"/>
                <w:lang w:eastAsia="en-GB"/>
              </w:rPr>
            </w:pPr>
            <w:r w:rsidRPr="00835E0D">
              <w:rPr>
                <w:rFonts w:cs="Arial"/>
                <w:color w:val="000000"/>
                <w:szCs w:val="28"/>
                <w:lang w:eastAsia="en-GB"/>
              </w:rPr>
              <w:t>Budget for 2021/22 </w:t>
            </w:r>
          </w:p>
        </w:tc>
        <w:tc>
          <w:tcPr>
            <w:tcW w:w="3544" w:type="dxa"/>
            <w:hideMark/>
          </w:tcPr>
          <w:p w14:paraId="7BE8414F" w14:textId="77777777" w:rsidR="002D501C" w:rsidRPr="00835E0D" w:rsidRDefault="002D501C">
            <w:pPr>
              <w:jc w:val="center"/>
              <w:textAlignment w:val="baseline"/>
              <w:rPr>
                <w:rFonts w:ascii="Segoe UI" w:hAnsi="Segoe UI" w:cs="Segoe UI"/>
                <w:sz w:val="18"/>
                <w:szCs w:val="18"/>
                <w:lang w:eastAsia="en-GB"/>
              </w:rPr>
            </w:pPr>
            <w:r w:rsidRPr="00835E0D">
              <w:rPr>
                <w:rFonts w:cs="Arial"/>
                <w:color w:val="000000"/>
                <w:szCs w:val="28"/>
                <w:lang w:eastAsia="en-GB"/>
              </w:rPr>
              <w:t>734,521 </w:t>
            </w:r>
          </w:p>
        </w:tc>
      </w:tr>
      <w:tr w:rsidR="002D501C" w:rsidRPr="00835E0D" w14:paraId="4DF30FF8" w14:textId="77777777" w:rsidTr="00AE799A">
        <w:trPr>
          <w:trHeight w:val="390"/>
        </w:trPr>
        <w:tc>
          <w:tcPr>
            <w:tcW w:w="5382" w:type="dxa"/>
            <w:hideMark/>
          </w:tcPr>
          <w:p w14:paraId="625FC187" w14:textId="77777777" w:rsidR="002D501C" w:rsidRPr="00835E0D" w:rsidRDefault="002D501C">
            <w:pPr>
              <w:textAlignment w:val="baseline"/>
              <w:rPr>
                <w:rFonts w:ascii="Segoe UI" w:hAnsi="Segoe UI" w:cs="Segoe UI"/>
                <w:sz w:val="18"/>
                <w:szCs w:val="18"/>
                <w:lang w:eastAsia="en-GB"/>
              </w:rPr>
            </w:pPr>
            <w:r w:rsidRPr="00835E0D">
              <w:rPr>
                <w:rFonts w:cs="Arial"/>
                <w:color w:val="000000"/>
                <w:szCs w:val="28"/>
                <w:lang w:eastAsia="en-GB"/>
              </w:rPr>
              <w:t>Budget for 2022/23 </w:t>
            </w:r>
          </w:p>
        </w:tc>
        <w:tc>
          <w:tcPr>
            <w:tcW w:w="3544" w:type="dxa"/>
            <w:hideMark/>
          </w:tcPr>
          <w:p w14:paraId="0E90394E" w14:textId="14682B0F" w:rsidR="002D501C" w:rsidRPr="00835E0D" w:rsidRDefault="00E51E15">
            <w:pPr>
              <w:jc w:val="center"/>
              <w:textAlignment w:val="baseline"/>
              <w:rPr>
                <w:rFonts w:ascii="Segoe UI" w:hAnsi="Segoe UI" w:cs="Segoe UI"/>
                <w:sz w:val="18"/>
                <w:szCs w:val="18"/>
                <w:lang w:eastAsia="en-GB"/>
              </w:rPr>
            </w:pPr>
            <w:r w:rsidRPr="00E51E15">
              <w:rPr>
                <w:rFonts w:cs="Arial"/>
                <w:color w:val="000000"/>
                <w:szCs w:val="28"/>
                <w:lang w:eastAsia="en-GB"/>
              </w:rPr>
              <w:t>710</w:t>
            </w:r>
            <w:r>
              <w:rPr>
                <w:rFonts w:cs="Arial"/>
                <w:color w:val="000000"/>
                <w:szCs w:val="28"/>
                <w:lang w:eastAsia="en-GB"/>
              </w:rPr>
              <w:t>,</w:t>
            </w:r>
            <w:r w:rsidRPr="00E51E15">
              <w:rPr>
                <w:rFonts w:cs="Arial"/>
                <w:color w:val="000000"/>
                <w:szCs w:val="28"/>
                <w:lang w:eastAsia="en-GB"/>
              </w:rPr>
              <w:t>944</w:t>
            </w:r>
          </w:p>
        </w:tc>
      </w:tr>
      <w:tr w:rsidR="00C91144" w:rsidRPr="00835E0D" w14:paraId="0CF4AB7D" w14:textId="77777777" w:rsidTr="00AE799A">
        <w:trPr>
          <w:trHeight w:val="390"/>
        </w:trPr>
        <w:tc>
          <w:tcPr>
            <w:tcW w:w="5382" w:type="dxa"/>
          </w:tcPr>
          <w:p w14:paraId="2376DAB1" w14:textId="1A74ACDA" w:rsidR="00C91144" w:rsidRPr="00835E0D" w:rsidRDefault="00B7481D">
            <w:pPr>
              <w:textAlignment w:val="baseline"/>
              <w:rPr>
                <w:rFonts w:cs="Arial"/>
                <w:color w:val="000000"/>
                <w:szCs w:val="28"/>
                <w:lang w:eastAsia="en-GB"/>
              </w:rPr>
            </w:pPr>
            <w:r>
              <w:rPr>
                <w:rFonts w:cs="Arial"/>
                <w:color w:val="000000"/>
                <w:szCs w:val="28"/>
                <w:lang w:eastAsia="en-GB"/>
              </w:rPr>
              <w:t>Spend</w:t>
            </w:r>
            <w:r w:rsidR="00C91144">
              <w:rPr>
                <w:rFonts w:cs="Arial"/>
                <w:color w:val="000000"/>
                <w:szCs w:val="28"/>
                <w:lang w:eastAsia="en-GB"/>
              </w:rPr>
              <w:t xml:space="preserve"> for 2023/24 (to </w:t>
            </w:r>
            <w:r w:rsidR="00552DFC">
              <w:rPr>
                <w:rFonts w:cs="Arial"/>
                <w:color w:val="000000"/>
                <w:szCs w:val="28"/>
                <w:lang w:eastAsia="en-GB"/>
              </w:rPr>
              <w:t>Oct 2023 only</w:t>
            </w:r>
            <w:r w:rsidR="00C91144">
              <w:rPr>
                <w:rFonts w:cs="Arial"/>
                <w:color w:val="000000"/>
                <w:szCs w:val="28"/>
                <w:lang w:eastAsia="en-GB"/>
              </w:rPr>
              <w:t xml:space="preserve">) </w:t>
            </w:r>
          </w:p>
        </w:tc>
        <w:tc>
          <w:tcPr>
            <w:tcW w:w="3544" w:type="dxa"/>
          </w:tcPr>
          <w:p w14:paraId="21B08BEC" w14:textId="0BDED303" w:rsidR="00C91144" w:rsidRDefault="00C91144">
            <w:pPr>
              <w:jc w:val="center"/>
              <w:textAlignment w:val="baseline"/>
              <w:rPr>
                <w:rFonts w:cs="Arial"/>
                <w:color w:val="000000"/>
                <w:szCs w:val="28"/>
                <w:lang w:eastAsia="en-GB"/>
              </w:rPr>
            </w:pPr>
            <w:r w:rsidRPr="00C91144">
              <w:rPr>
                <w:rFonts w:cs="Arial"/>
                <w:color w:val="000000"/>
                <w:szCs w:val="28"/>
                <w:lang w:eastAsia="en-GB"/>
              </w:rPr>
              <w:t>449</w:t>
            </w:r>
            <w:r>
              <w:rPr>
                <w:rFonts w:cs="Arial"/>
                <w:color w:val="000000"/>
                <w:szCs w:val="28"/>
                <w:lang w:eastAsia="en-GB"/>
              </w:rPr>
              <w:t>,</w:t>
            </w:r>
            <w:r w:rsidRPr="00C91144">
              <w:rPr>
                <w:rFonts w:cs="Arial"/>
                <w:color w:val="000000"/>
                <w:szCs w:val="28"/>
                <w:lang w:eastAsia="en-GB"/>
              </w:rPr>
              <w:t>596</w:t>
            </w:r>
          </w:p>
        </w:tc>
      </w:tr>
    </w:tbl>
    <w:p w14:paraId="06A40670" w14:textId="77777777" w:rsidR="002D501C" w:rsidRDefault="002D501C" w:rsidP="002D501C"/>
    <w:p w14:paraId="26180D41" w14:textId="60707B10" w:rsidR="00807070" w:rsidRPr="006529BE" w:rsidRDefault="006529BE" w:rsidP="002D501C">
      <w:pPr>
        <w:rPr>
          <w:lang w:eastAsia="en-GB"/>
        </w:rPr>
      </w:pPr>
      <w:r>
        <w:t>This table highlights a fluctuating budget between 2020 and 2023</w:t>
      </w:r>
      <w:r w:rsidR="007F47EF">
        <w:t>.</w:t>
      </w:r>
      <w:r>
        <w:t xml:space="preserve"> </w:t>
      </w:r>
      <w:r w:rsidR="00FE0CDA">
        <w:t>Having a</w:t>
      </w:r>
      <w:r w:rsidR="00EC7A45">
        <w:t xml:space="preserve"> </w:t>
      </w:r>
      <w:r w:rsidR="00FE0CDA">
        <w:t>budget that is stable in real terms over time</w:t>
      </w:r>
      <w:r w:rsidR="001A5CC5">
        <w:rPr>
          <w:b/>
          <w:bCs/>
          <w:lang w:eastAsia="en-GB"/>
        </w:rPr>
        <w:t xml:space="preserve"> </w:t>
      </w:r>
      <w:r w:rsidR="001A5CC5" w:rsidRPr="006529BE">
        <w:rPr>
          <w:lang w:eastAsia="en-GB"/>
        </w:rPr>
        <w:t xml:space="preserve">would be beneficial for the VI service to be able </w:t>
      </w:r>
      <w:r w:rsidR="00FF6BEB">
        <w:rPr>
          <w:lang w:eastAsia="en-GB"/>
        </w:rPr>
        <w:t xml:space="preserve">to </w:t>
      </w:r>
      <w:r w:rsidR="006C510B" w:rsidRPr="006529BE">
        <w:rPr>
          <w:lang w:eastAsia="en-GB"/>
        </w:rPr>
        <w:t>plan and deliver a sustainable level of support for the children and young people with VI in Northern Ireland.</w:t>
      </w:r>
    </w:p>
    <w:p w14:paraId="385F5759" w14:textId="77777777" w:rsidR="006C510B" w:rsidRDefault="006C510B" w:rsidP="002D501C">
      <w:pPr>
        <w:rPr>
          <w:b/>
          <w:bCs/>
          <w:lang w:eastAsia="en-GB"/>
        </w:rPr>
      </w:pPr>
    </w:p>
    <w:p w14:paraId="23144AF5" w14:textId="6FF04D34" w:rsidR="002D501C" w:rsidRPr="00563DEB" w:rsidRDefault="00635E76" w:rsidP="002D501C">
      <w:pPr>
        <w:pStyle w:val="Heading2"/>
      </w:pPr>
      <w:bookmarkStart w:id="67" w:name="_Toc121145325"/>
      <w:bookmarkStart w:id="68" w:name="_Toc129166514"/>
      <w:bookmarkStart w:id="69" w:name="_Toc129166937"/>
      <w:bookmarkStart w:id="70" w:name="_Toc131585368"/>
      <w:bookmarkStart w:id="71" w:name="_Toc459020087"/>
      <w:r>
        <w:t xml:space="preserve">3.2 </w:t>
      </w:r>
      <w:r w:rsidR="002D501C">
        <w:t xml:space="preserve">Number of </w:t>
      </w:r>
      <w:bookmarkStart w:id="72" w:name="_Toc128143896"/>
      <w:bookmarkStart w:id="73" w:name="_Toc128660347"/>
      <w:r w:rsidR="002D501C">
        <w:t>c</w:t>
      </w:r>
      <w:r w:rsidR="002D501C" w:rsidRPr="00AC6FEF">
        <w:t xml:space="preserve">hildren and young people </w:t>
      </w:r>
      <w:bookmarkEnd w:id="67"/>
      <w:bookmarkEnd w:id="68"/>
      <w:bookmarkEnd w:id="69"/>
      <w:bookmarkEnd w:id="72"/>
      <w:bookmarkEnd w:id="73"/>
      <w:r w:rsidR="0023494C">
        <w:t>with VI receiving support</w:t>
      </w:r>
      <w:bookmarkEnd w:id="70"/>
      <w:bookmarkEnd w:id="71"/>
    </w:p>
    <w:p w14:paraId="5C8C5D90" w14:textId="480915AC" w:rsidR="002D501C" w:rsidRPr="00F93ACD" w:rsidRDefault="00635E76" w:rsidP="00AE799A">
      <w:pPr>
        <w:pStyle w:val="Heading3"/>
      </w:pPr>
      <w:bookmarkStart w:id="74" w:name="_Toc128143897"/>
      <w:bookmarkStart w:id="75" w:name="_Toc128660348"/>
      <w:bookmarkStart w:id="76" w:name="_Toc129166515"/>
      <w:bookmarkStart w:id="77" w:name="_Toc129166938"/>
      <w:bookmarkStart w:id="78" w:name="_Toc131585369"/>
      <w:bookmarkStart w:id="79" w:name="_Toc1364985617"/>
      <w:r>
        <w:t xml:space="preserve">3.2.1 </w:t>
      </w:r>
      <w:bookmarkEnd w:id="74"/>
      <w:bookmarkEnd w:id="75"/>
      <w:r w:rsidR="00D43A08">
        <w:t>C</w:t>
      </w:r>
      <w:r w:rsidR="00104207">
        <w:t>hildren and young people</w:t>
      </w:r>
      <w:r w:rsidR="00875FC6">
        <w:t xml:space="preserve"> with VI</w:t>
      </w:r>
      <w:r w:rsidR="002D501C">
        <w:t xml:space="preserve"> by key stage/year group</w:t>
      </w:r>
      <w:bookmarkEnd w:id="76"/>
      <w:bookmarkEnd w:id="77"/>
      <w:bookmarkEnd w:id="78"/>
      <w:bookmarkEnd w:id="79"/>
    </w:p>
    <w:p w14:paraId="0FEE3EDF" w14:textId="6EEA9E57" w:rsidR="002D501C" w:rsidRDefault="002D501C" w:rsidP="002D501C">
      <w:r>
        <w:t xml:space="preserve">A total of </w:t>
      </w:r>
      <w:r w:rsidR="009D603F" w:rsidRPr="008423D3">
        <w:t>8</w:t>
      </w:r>
      <w:r w:rsidR="009D603F" w:rsidRPr="006529BE">
        <w:t>67</w:t>
      </w:r>
      <w:r w:rsidR="009D603F" w:rsidRPr="0061253C">
        <w:t xml:space="preserve"> </w:t>
      </w:r>
      <w:r>
        <w:t>children and young people</w:t>
      </w:r>
      <w:r w:rsidRPr="0061253C">
        <w:t xml:space="preserve"> </w:t>
      </w:r>
      <w:r>
        <w:t>with</w:t>
      </w:r>
      <w:r w:rsidRPr="0061253C">
        <w:t xml:space="preserve"> </w:t>
      </w:r>
      <w:r w:rsidR="001073B8">
        <w:t>VI</w:t>
      </w:r>
      <w:r w:rsidRPr="0061253C">
        <w:t xml:space="preserve"> </w:t>
      </w:r>
      <w:r w:rsidR="002538A5">
        <w:t>are</w:t>
      </w:r>
      <w:r>
        <w:t xml:space="preserve"> on </w:t>
      </w:r>
      <w:r w:rsidR="000E2101">
        <w:t xml:space="preserve">the VI service </w:t>
      </w:r>
      <w:r>
        <w:t xml:space="preserve">active </w:t>
      </w:r>
      <w:r w:rsidRPr="0061253C">
        <w:t>caseload</w:t>
      </w:r>
      <w:r>
        <w:t xml:space="preserve">, </w:t>
      </w:r>
      <w:r w:rsidRPr="00EE5F97">
        <w:t>including those supported by Jordanstown Outreach service</w:t>
      </w:r>
      <w:r w:rsidR="00FA5C3E">
        <w:t xml:space="preserve">. </w:t>
      </w:r>
      <w:r w:rsidR="00EA67EF">
        <w:t xml:space="preserve">32 of these children and young people have multi-sensory impairment. </w:t>
      </w:r>
      <w:r w:rsidR="00FA5C3E">
        <w:t xml:space="preserve">A further </w:t>
      </w:r>
      <w:r w:rsidR="00491C2F" w:rsidRPr="008423D3">
        <w:t>4</w:t>
      </w:r>
      <w:r w:rsidR="00644B05" w:rsidRPr="008423D3">
        <w:t>5</w:t>
      </w:r>
      <w:r w:rsidR="00491C2F">
        <w:t xml:space="preserve"> children attend Jordanstown School, which is a specialist setting for </w:t>
      </w:r>
      <w:r w:rsidR="00BC5A48">
        <w:t>children and young people with sensory impairment</w:t>
      </w:r>
      <w:r w:rsidR="00804639">
        <w:t>.</w:t>
      </w:r>
    </w:p>
    <w:p w14:paraId="5DC40C3F" w14:textId="77777777" w:rsidR="002D501C" w:rsidRDefault="002D501C" w:rsidP="002D501C"/>
    <w:p w14:paraId="4516AD9F" w14:textId="00914DE3" w:rsidR="002D501C" w:rsidRPr="00B456CF" w:rsidRDefault="002D501C" w:rsidP="00AE799A">
      <w:pPr>
        <w:spacing w:after="240"/>
        <w:rPr>
          <w:b/>
        </w:rPr>
      </w:pPr>
      <w:r w:rsidRPr="00B456CF">
        <w:rPr>
          <w:b/>
        </w:rPr>
        <w:t>Table</w:t>
      </w:r>
      <w:r>
        <w:rPr>
          <w:b/>
        </w:rPr>
        <w:t xml:space="preserve"> 2</w:t>
      </w:r>
      <w:r w:rsidRPr="00B456CF">
        <w:rPr>
          <w:b/>
        </w:rPr>
        <w:t xml:space="preserve">: Proportion </w:t>
      </w:r>
      <w:r>
        <w:rPr>
          <w:b/>
        </w:rPr>
        <w:t xml:space="preserve">of CYP </w:t>
      </w:r>
      <w:r w:rsidR="00104207">
        <w:rPr>
          <w:b/>
        </w:rPr>
        <w:t xml:space="preserve">with VI </w:t>
      </w:r>
      <w:r w:rsidRPr="00B456CF">
        <w:rPr>
          <w:b/>
        </w:rPr>
        <w:t xml:space="preserve">by </w:t>
      </w:r>
      <w:r w:rsidR="0081224C">
        <w:rPr>
          <w:b/>
        </w:rPr>
        <w:t>key stage</w:t>
      </w:r>
      <w:r w:rsidR="00C679C6">
        <w:rPr>
          <w:b/>
        </w:rPr>
        <w:t xml:space="preserve"> </w:t>
      </w:r>
      <w:r w:rsidR="00FB64CF">
        <w:rPr>
          <w:b/>
        </w:rPr>
        <w:t>(inclusive of the 4</w:t>
      </w:r>
      <w:r w:rsidR="00E47D6A">
        <w:rPr>
          <w:b/>
        </w:rPr>
        <w:t>5</w:t>
      </w:r>
      <w:r w:rsidR="00FB64CF">
        <w:rPr>
          <w:b/>
        </w:rPr>
        <w:t xml:space="preserve"> CYP that attend Jordanstown School)</w:t>
      </w:r>
    </w:p>
    <w:tbl>
      <w:tblPr>
        <w:tblStyle w:val="TableGrid"/>
        <w:tblW w:w="9351" w:type="dxa"/>
        <w:tblLook w:val="04A0" w:firstRow="1" w:lastRow="0" w:firstColumn="1" w:lastColumn="0" w:noHBand="0" w:noVBand="1"/>
      </w:tblPr>
      <w:tblGrid>
        <w:gridCol w:w="3256"/>
        <w:gridCol w:w="2784"/>
        <w:gridCol w:w="3311"/>
      </w:tblGrid>
      <w:tr w:rsidR="002D501C" w:rsidRPr="00E92E33" w14:paraId="2AF4A880" w14:textId="77777777" w:rsidTr="00583E98">
        <w:trPr>
          <w:trHeight w:val="290"/>
        </w:trPr>
        <w:tc>
          <w:tcPr>
            <w:tcW w:w="3256" w:type="dxa"/>
            <w:shd w:val="clear" w:color="auto" w:fill="auto"/>
            <w:noWrap/>
            <w:vAlign w:val="center"/>
            <w:hideMark/>
          </w:tcPr>
          <w:p w14:paraId="120F7359" w14:textId="7D95811F" w:rsidR="002D501C" w:rsidRPr="00E92E33" w:rsidRDefault="002D501C">
            <w:pPr>
              <w:rPr>
                <w:b/>
                <w:bCs/>
              </w:rPr>
            </w:pPr>
            <w:r>
              <w:rPr>
                <w:b/>
                <w:bCs/>
              </w:rPr>
              <w:t>Key stage/year group</w:t>
            </w:r>
          </w:p>
        </w:tc>
        <w:tc>
          <w:tcPr>
            <w:tcW w:w="2784" w:type="dxa"/>
            <w:shd w:val="clear" w:color="auto" w:fill="auto"/>
          </w:tcPr>
          <w:p w14:paraId="75C8D4DA" w14:textId="15FBC449" w:rsidR="002D501C" w:rsidRPr="00E92E33" w:rsidRDefault="002D501C">
            <w:pPr>
              <w:rPr>
                <w:b/>
                <w:bCs/>
              </w:rPr>
            </w:pPr>
            <w:r w:rsidRPr="00691991">
              <w:rPr>
                <w:b/>
                <w:bCs/>
              </w:rPr>
              <w:t>Number of CYP</w:t>
            </w:r>
            <w:r w:rsidR="00501185" w:rsidRPr="00F81CED">
              <w:rPr>
                <w:b/>
                <w:bCs/>
              </w:rPr>
              <w:t xml:space="preserve"> with VI receiving support</w:t>
            </w:r>
          </w:p>
        </w:tc>
        <w:tc>
          <w:tcPr>
            <w:tcW w:w="3311" w:type="dxa"/>
            <w:shd w:val="clear" w:color="auto" w:fill="auto"/>
            <w:noWrap/>
            <w:hideMark/>
          </w:tcPr>
          <w:p w14:paraId="349A9FE3" w14:textId="76A5E63B" w:rsidR="002D501C" w:rsidRPr="00E92E33" w:rsidRDefault="002D501C">
            <w:pPr>
              <w:rPr>
                <w:b/>
                <w:bCs/>
              </w:rPr>
            </w:pPr>
            <w:r w:rsidRPr="00812C07">
              <w:rPr>
                <w:b/>
                <w:bCs/>
              </w:rPr>
              <w:t xml:space="preserve">Proportion of </w:t>
            </w:r>
            <w:r w:rsidR="00501185" w:rsidRPr="00F81CED">
              <w:rPr>
                <w:b/>
                <w:bCs/>
              </w:rPr>
              <w:t xml:space="preserve">CYP </w:t>
            </w:r>
            <w:r w:rsidR="00812C07">
              <w:rPr>
                <w:b/>
                <w:bCs/>
              </w:rPr>
              <w:t xml:space="preserve">with VI </w:t>
            </w:r>
            <w:r w:rsidR="00501185" w:rsidRPr="00F81CED">
              <w:rPr>
                <w:b/>
                <w:bCs/>
              </w:rPr>
              <w:t>receiving support</w:t>
            </w:r>
          </w:p>
        </w:tc>
      </w:tr>
      <w:tr w:rsidR="002D501C" w:rsidRPr="008B507C" w14:paraId="3C0324CD" w14:textId="77777777" w:rsidTr="00EE2403">
        <w:trPr>
          <w:trHeight w:val="290"/>
        </w:trPr>
        <w:tc>
          <w:tcPr>
            <w:tcW w:w="3256" w:type="dxa"/>
            <w:shd w:val="clear" w:color="auto" w:fill="auto"/>
            <w:noWrap/>
            <w:hideMark/>
          </w:tcPr>
          <w:p w14:paraId="06F0F299" w14:textId="77777777" w:rsidR="002D501C" w:rsidRPr="008B507C" w:rsidRDefault="002D501C">
            <w:r>
              <w:t>Pre School</w:t>
            </w:r>
          </w:p>
        </w:tc>
        <w:tc>
          <w:tcPr>
            <w:tcW w:w="2784" w:type="dxa"/>
            <w:shd w:val="clear" w:color="auto" w:fill="auto"/>
          </w:tcPr>
          <w:p w14:paraId="64977E9E" w14:textId="728648AC" w:rsidR="002D501C" w:rsidRDefault="00C27041">
            <w:pPr>
              <w:jc w:val="center"/>
            </w:pPr>
            <w:r>
              <w:t>59</w:t>
            </w:r>
          </w:p>
        </w:tc>
        <w:tc>
          <w:tcPr>
            <w:tcW w:w="3311" w:type="dxa"/>
            <w:shd w:val="clear" w:color="auto" w:fill="auto"/>
            <w:noWrap/>
            <w:hideMark/>
          </w:tcPr>
          <w:p w14:paraId="22E16597" w14:textId="3BDB8652" w:rsidR="002D501C" w:rsidRPr="00B362C4" w:rsidRDefault="008C743E">
            <w:pPr>
              <w:jc w:val="center"/>
            </w:pPr>
            <w:r>
              <w:t>6</w:t>
            </w:r>
            <w:r w:rsidR="008423D3">
              <w:t xml:space="preserve"> per cent</w:t>
            </w:r>
          </w:p>
        </w:tc>
      </w:tr>
      <w:tr w:rsidR="002D501C" w:rsidRPr="008B507C" w14:paraId="02F23313" w14:textId="77777777" w:rsidTr="00EE2403">
        <w:trPr>
          <w:trHeight w:val="290"/>
        </w:trPr>
        <w:tc>
          <w:tcPr>
            <w:tcW w:w="3256" w:type="dxa"/>
            <w:shd w:val="clear" w:color="auto" w:fill="auto"/>
            <w:noWrap/>
            <w:hideMark/>
          </w:tcPr>
          <w:p w14:paraId="5FA7A93B" w14:textId="77777777" w:rsidR="002D501C" w:rsidRPr="008B507C" w:rsidRDefault="002D501C">
            <w:r>
              <w:t>Foundation Stage</w:t>
            </w:r>
          </w:p>
        </w:tc>
        <w:tc>
          <w:tcPr>
            <w:tcW w:w="2784" w:type="dxa"/>
            <w:shd w:val="clear" w:color="auto" w:fill="auto"/>
          </w:tcPr>
          <w:p w14:paraId="3E1437B1" w14:textId="5ADFDC02" w:rsidR="002D501C" w:rsidRDefault="00C27041">
            <w:pPr>
              <w:jc w:val="center"/>
            </w:pPr>
            <w:r>
              <w:t>6</w:t>
            </w:r>
            <w:r w:rsidR="002F72FB">
              <w:t>7</w:t>
            </w:r>
          </w:p>
        </w:tc>
        <w:tc>
          <w:tcPr>
            <w:tcW w:w="3311" w:type="dxa"/>
            <w:shd w:val="clear" w:color="auto" w:fill="auto"/>
            <w:noWrap/>
            <w:hideMark/>
          </w:tcPr>
          <w:p w14:paraId="28A9536D" w14:textId="3BA5C96F" w:rsidR="002D501C" w:rsidRPr="00B362C4" w:rsidRDefault="008C743E">
            <w:pPr>
              <w:jc w:val="center"/>
            </w:pPr>
            <w:r>
              <w:t>7</w:t>
            </w:r>
            <w:r w:rsidR="008423D3">
              <w:t xml:space="preserve"> per cent</w:t>
            </w:r>
          </w:p>
        </w:tc>
      </w:tr>
      <w:tr w:rsidR="002D501C" w:rsidRPr="008B507C" w14:paraId="59D95257" w14:textId="77777777" w:rsidTr="00EE2403">
        <w:trPr>
          <w:trHeight w:val="290"/>
        </w:trPr>
        <w:tc>
          <w:tcPr>
            <w:tcW w:w="3256" w:type="dxa"/>
            <w:shd w:val="clear" w:color="auto" w:fill="auto"/>
            <w:noWrap/>
            <w:hideMark/>
          </w:tcPr>
          <w:p w14:paraId="209E1567" w14:textId="77777777" w:rsidR="002D501C" w:rsidRPr="008B507C" w:rsidRDefault="002D501C">
            <w:r>
              <w:t>Key Stage 1</w:t>
            </w:r>
          </w:p>
        </w:tc>
        <w:tc>
          <w:tcPr>
            <w:tcW w:w="2784" w:type="dxa"/>
            <w:shd w:val="clear" w:color="auto" w:fill="auto"/>
          </w:tcPr>
          <w:p w14:paraId="6BA7DE6B" w14:textId="707E4696" w:rsidR="002D501C" w:rsidRDefault="002D501C">
            <w:pPr>
              <w:jc w:val="center"/>
            </w:pPr>
            <w:r>
              <w:t>1</w:t>
            </w:r>
            <w:r w:rsidR="002F72FB">
              <w:t>18</w:t>
            </w:r>
          </w:p>
        </w:tc>
        <w:tc>
          <w:tcPr>
            <w:tcW w:w="3311" w:type="dxa"/>
            <w:shd w:val="clear" w:color="auto" w:fill="auto"/>
            <w:noWrap/>
            <w:hideMark/>
          </w:tcPr>
          <w:p w14:paraId="220CA316" w14:textId="06707D8E" w:rsidR="002D501C" w:rsidRDefault="000D1F17">
            <w:pPr>
              <w:jc w:val="center"/>
            </w:pPr>
            <w:r>
              <w:t>1</w:t>
            </w:r>
            <w:r w:rsidR="008C743E">
              <w:t>3</w:t>
            </w:r>
            <w:r w:rsidR="008423D3">
              <w:t xml:space="preserve"> per cent</w:t>
            </w:r>
          </w:p>
        </w:tc>
      </w:tr>
      <w:tr w:rsidR="002D501C" w:rsidRPr="008B507C" w14:paraId="4C4D0F79" w14:textId="77777777" w:rsidTr="00EE2403">
        <w:trPr>
          <w:trHeight w:val="290"/>
        </w:trPr>
        <w:tc>
          <w:tcPr>
            <w:tcW w:w="3256" w:type="dxa"/>
            <w:shd w:val="clear" w:color="auto" w:fill="auto"/>
            <w:noWrap/>
            <w:hideMark/>
          </w:tcPr>
          <w:p w14:paraId="0138BB29" w14:textId="77777777" w:rsidR="002D501C" w:rsidRPr="008B507C" w:rsidRDefault="002D501C">
            <w:r>
              <w:t>Key Stage 2</w:t>
            </w:r>
          </w:p>
        </w:tc>
        <w:tc>
          <w:tcPr>
            <w:tcW w:w="2784" w:type="dxa"/>
            <w:shd w:val="clear" w:color="auto" w:fill="auto"/>
          </w:tcPr>
          <w:p w14:paraId="7870C86B" w14:textId="0EE333FF" w:rsidR="002D501C" w:rsidRDefault="002D501C">
            <w:pPr>
              <w:jc w:val="center"/>
            </w:pPr>
            <w:r>
              <w:t>1</w:t>
            </w:r>
            <w:r w:rsidR="002F72FB">
              <w:t>80</w:t>
            </w:r>
          </w:p>
        </w:tc>
        <w:tc>
          <w:tcPr>
            <w:tcW w:w="3311" w:type="dxa"/>
            <w:shd w:val="clear" w:color="auto" w:fill="auto"/>
            <w:noWrap/>
            <w:hideMark/>
          </w:tcPr>
          <w:p w14:paraId="19C59760" w14:textId="5F3ECBBE" w:rsidR="002D501C" w:rsidRDefault="002D501C">
            <w:pPr>
              <w:jc w:val="center"/>
            </w:pPr>
            <w:r>
              <w:t>2</w:t>
            </w:r>
            <w:r w:rsidR="008C743E">
              <w:t>0</w:t>
            </w:r>
            <w:r w:rsidR="008423D3">
              <w:t xml:space="preserve"> per cent</w:t>
            </w:r>
          </w:p>
        </w:tc>
      </w:tr>
      <w:tr w:rsidR="002D501C" w:rsidRPr="008B507C" w14:paraId="1112C184" w14:textId="77777777" w:rsidTr="00EE2403">
        <w:trPr>
          <w:trHeight w:val="290"/>
        </w:trPr>
        <w:tc>
          <w:tcPr>
            <w:tcW w:w="3256" w:type="dxa"/>
            <w:shd w:val="clear" w:color="auto" w:fill="auto"/>
            <w:noWrap/>
            <w:hideMark/>
          </w:tcPr>
          <w:p w14:paraId="43576761" w14:textId="77777777" w:rsidR="002D501C" w:rsidRPr="008B507C" w:rsidRDefault="002D501C">
            <w:r>
              <w:t>Key Stage 3</w:t>
            </w:r>
          </w:p>
        </w:tc>
        <w:tc>
          <w:tcPr>
            <w:tcW w:w="2784" w:type="dxa"/>
            <w:shd w:val="clear" w:color="auto" w:fill="auto"/>
          </w:tcPr>
          <w:p w14:paraId="0B25C697" w14:textId="59B5E3EB" w:rsidR="002D501C" w:rsidRDefault="002D501C">
            <w:pPr>
              <w:jc w:val="center"/>
            </w:pPr>
            <w:r>
              <w:t>1</w:t>
            </w:r>
            <w:r w:rsidR="002F72FB">
              <w:t>89</w:t>
            </w:r>
          </w:p>
        </w:tc>
        <w:tc>
          <w:tcPr>
            <w:tcW w:w="3311" w:type="dxa"/>
            <w:shd w:val="clear" w:color="auto" w:fill="auto"/>
            <w:noWrap/>
            <w:hideMark/>
          </w:tcPr>
          <w:p w14:paraId="434033DF" w14:textId="35B40F82" w:rsidR="002D501C" w:rsidRDefault="002D501C">
            <w:pPr>
              <w:jc w:val="center"/>
            </w:pPr>
            <w:r>
              <w:t>2</w:t>
            </w:r>
            <w:r w:rsidR="008C743E">
              <w:t>1</w:t>
            </w:r>
            <w:r w:rsidR="008423D3">
              <w:t xml:space="preserve"> per cent</w:t>
            </w:r>
          </w:p>
        </w:tc>
      </w:tr>
      <w:tr w:rsidR="002D501C" w:rsidRPr="008B507C" w14:paraId="663D58C0" w14:textId="77777777" w:rsidTr="00EE2403">
        <w:trPr>
          <w:trHeight w:val="290"/>
        </w:trPr>
        <w:tc>
          <w:tcPr>
            <w:tcW w:w="3256" w:type="dxa"/>
            <w:shd w:val="clear" w:color="auto" w:fill="auto"/>
            <w:noWrap/>
            <w:hideMark/>
          </w:tcPr>
          <w:p w14:paraId="17968DB8" w14:textId="77777777" w:rsidR="002D501C" w:rsidRPr="008B507C" w:rsidRDefault="002D501C">
            <w:r>
              <w:t>Key Stage 4</w:t>
            </w:r>
          </w:p>
        </w:tc>
        <w:tc>
          <w:tcPr>
            <w:tcW w:w="2784" w:type="dxa"/>
            <w:shd w:val="clear" w:color="auto" w:fill="auto"/>
          </w:tcPr>
          <w:p w14:paraId="05C77821" w14:textId="633567A5" w:rsidR="002D501C" w:rsidRDefault="002D501C">
            <w:pPr>
              <w:jc w:val="center"/>
            </w:pPr>
            <w:r>
              <w:t>1</w:t>
            </w:r>
            <w:r w:rsidR="002F72FB">
              <w:t>03</w:t>
            </w:r>
          </w:p>
        </w:tc>
        <w:tc>
          <w:tcPr>
            <w:tcW w:w="3311" w:type="dxa"/>
            <w:shd w:val="clear" w:color="auto" w:fill="auto"/>
            <w:noWrap/>
            <w:hideMark/>
          </w:tcPr>
          <w:p w14:paraId="50584AE0" w14:textId="0BD0D202" w:rsidR="002D501C" w:rsidRDefault="002D501C">
            <w:pPr>
              <w:jc w:val="center"/>
            </w:pPr>
            <w:r>
              <w:t>1</w:t>
            </w:r>
            <w:r w:rsidR="008C743E">
              <w:t>1</w:t>
            </w:r>
            <w:r w:rsidR="008423D3">
              <w:t xml:space="preserve"> per cent </w:t>
            </w:r>
          </w:p>
        </w:tc>
      </w:tr>
      <w:tr w:rsidR="002D501C" w:rsidRPr="008B507C" w14:paraId="2993086D" w14:textId="77777777" w:rsidTr="00EE2403">
        <w:trPr>
          <w:trHeight w:val="290"/>
        </w:trPr>
        <w:tc>
          <w:tcPr>
            <w:tcW w:w="3256" w:type="dxa"/>
            <w:shd w:val="clear" w:color="auto" w:fill="auto"/>
            <w:noWrap/>
            <w:hideMark/>
          </w:tcPr>
          <w:p w14:paraId="5A82B4BC" w14:textId="77777777" w:rsidR="002D501C" w:rsidRPr="008B507C" w:rsidRDefault="002D501C">
            <w:r>
              <w:t>Years 13 and 14</w:t>
            </w:r>
          </w:p>
        </w:tc>
        <w:tc>
          <w:tcPr>
            <w:tcW w:w="2784" w:type="dxa"/>
            <w:shd w:val="clear" w:color="auto" w:fill="auto"/>
          </w:tcPr>
          <w:p w14:paraId="635C7B38" w14:textId="0FC8FEAC" w:rsidR="002D501C" w:rsidRDefault="002F72FB">
            <w:pPr>
              <w:jc w:val="center"/>
            </w:pPr>
            <w:r>
              <w:t>90</w:t>
            </w:r>
          </w:p>
        </w:tc>
        <w:tc>
          <w:tcPr>
            <w:tcW w:w="3311" w:type="dxa"/>
            <w:shd w:val="clear" w:color="auto" w:fill="auto"/>
            <w:noWrap/>
            <w:hideMark/>
          </w:tcPr>
          <w:p w14:paraId="6DEFF4E6" w14:textId="7D4AF8DE" w:rsidR="002D501C" w:rsidRDefault="001D5484">
            <w:pPr>
              <w:jc w:val="center"/>
            </w:pPr>
            <w:r>
              <w:t>1</w:t>
            </w:r>
            <w:r w:rsidR="00CA36D3">
              <w:t>0</w:t>
            </w:r>
            <w:r w:rsidR="008423D3">
              <w:t xml:space="preserve"> per cent</w:t>
            </w:r>
          </w:p>
        </w:tc>
      </w:tr>
      <w:tr w:rsidR="00CA36D3" w:rsidRPr="008B507C" w14:paraId="63A368F3" w14:textId="77777777" w:rsidTr="00EE2403">
        <w:trPr>
          <w:trHeight w:val="290"/>
        </w:trPr>
        <w:tc>
          <w:tcPr>
            <w:tcW w:w="3256" w:type="dxa"/>
            <w:shd w:val="clear" w:color="auto" w:fill="auto"/>
            <w:noWrap/>
          </w:tcPr>
          <w:p w14:paraId="742CEF12" w14:textId="3534F151" w:rsidR="00CA36D3" w:rsidRDefault="00CA36D3">
            <w:r>
              <w:t>Not specified</w:t>
            </w:r>
          </w:p>
        </w:tc>
        <w:tc>
          <w:tcPr>
            <w:tcW w:w="2784" w:type="dxa"/>
            <w:shd w:val="clear" w:color="auto" w:fill="auto"/>
          </w:tcPr>
          <w:p w14:paraId="7ADC7986" w14:textId="5D8C5C31" w:rsidR="00CA36D3" w:rsidRDefault="00CA36D3">
            <w:pPr>
              <w:jc w:val="center"/>
            </w:pPr>
            <w:r>
              <w:t>61</w:t>
            </w:r>
          </w:p>
        </w:tc>
        <w:tc>
          <w:tcPr>
            <w:tcW w:w="3311" w:type="dxa"/>
            <w:shd w:val="clear" w:color="auto" w:fill="auto"/>
            <w:noWrap/>
          </w:tcPr>
          <w:p w14:paraId="772F10C6" w14:textId="56024B28" w:rsidR="00CA36D3" w:rsidRDefault="00CA36D3">
            <w:pPr>
              <w:jc w:val="center"/>
            </w:pPr>
            <w:r>
              <w:t>7</w:t>
            </w:r>
            <w:r w:rsidR="008423D3">
              <w:t xml:space="preserve"> per cent</w:t>
            </w:r>
          </w:p>
        </w:tc>
      </w:tr>
      <w:tr w:rsidR="008C743E" w:rsidRPr="008B507C" w14:paraId="6193E422" w14:textId="77777777" w:rsidTr="00EE2403">
        <w:trPr>
          <w:trHeight w:val="290"/>
        </w:trPr>
        <w:tc>
          <w:tcPr>
            <w:tcW w:w="3256" w:type="dxa"/>
            <w:shd w:val="clear" w:color="auto" w:fill="auto"/>
            <w:noWrap/>
          </w:tcPr>
          <w:p w14:paraId="48A643D5" w14:textId="4E2190E4" w:rsidR="008C743E" w:rsidRDefault="008C743E">
            <w:r>
              <w:t>Attending Jordanstown School</w:t>
            </w:r>
          </w:p>
        </w:tc>
        <w:tc>
          <w:tcPr>
            <w:tcW w:w="2784" w:type="dxa"/>
            <w:shd w:val="clear" w:color="auto" w:fill="auto"/>
          </w:tcPr>
          <w:p w14:paraId="2D8515DA" w14:textId="7D1CE7FF" w:rsidR="008C743E" w:rsidRDefault="008C743E">
            <w:pPr>
              <w:jc w:val="center"/>
            </w:pPr>
            <w:r>
              <w:t>45</w:t>
            </w:r>
          </w:p>
        </w:tc>
        <w:tc>
          <w:tcPr>
            <w:tcW w:w="3311" w:type="dxa"/>
            <w:shd w:val="clear" w:color="auto" w:fill="auto"/>
            <w:noWrap/>
          </w:tcPr>
          <w:p w14:paraId="65A40D02" w14:textId="155ADEF0" w:rsidR="008C743E" w:rsidRDefault="008C743E">
            <w:pPr>
              <w:jc w:val="center"/>
            </w:pPr>
            <w:r>
              <w:t>5</w:t>
            </w:r>
            <w:r w:rsidR="008423D3">
              <w:t xml:space="preserve"> per cent</w:t>
            </w:r>
          </w:p>
        </w:tc>
      </w:tr>
      <w:tr w:rsidR="002D501C" w:rsidRPr="008B507C" w14:paraId="200C4929" w14:textId="77777777" w:rsidTr="00EE2403">
        <w:trPr>
          <w:trHeight w:val="290"/>
        </w:trPr>
        <w:tc>
          <w:tcPr>
            <w:tcW w:w="3256" w:type="dxa"/>
            <w:shd w:val="clear" w:color="auto" w:fill="auto"/>
            <w:noWrap/>
          </w:tcPr>
          <w:p w14:paraId="08B71498" w14:textId="77777777" w:rsidR="002D501C" w:rsidRDefault="002D501C">
            <w:r>
              <w:t xml:space="preserve">Total </w:t>
            </w:r>
          </w:p>
        </w:tc>
        <w:tc>
          <w:tcPr>
            <w:tcW w:w="2784" w:type="dxa"/>
            <w:shd w:val="clear" w:color="auto" w:fill="auto"/>
          </w:tcPr>
          <w:p w14:paraId="729DBA45" w14:textId="403A66E4" w:rsidR="002D501C" w:rsidRDefault="008C743E">
            <w:pPr>
              <w:jc w:val="center"/>
            </w:pPr>
            <w:r>
              <w:t>912</w:t>
            </w:r>
          </w:p>
        </w:tc>
        <w:tc>
          <w:tcPr>
            <w:tcW w:w="3311" w:type="dxa"/>
            <w:shd w:val="clear" w:color="auto" w:fill="auto"/>
            <w:noWrap/>
          </w:tcPr>
          <w:p w14:paraId="27FFEBF8" w14:textId="1B8A179D" w:rsidR="002D501C" w:rsidRDefault="002D501C">
            <w:pPr>
              <w:jc w:val="center"/>
            </w:pPr>
            <w:r>
              <w:t>100</w:t>
            </w:r>
            <w:r w:rsidR="008423D3">
              <w:t xml:space="preserve"> per cent</w:t>
            </w:r>
          </w:p>
        </w:tc>
      </w:tr>
    </w:tbl>
    <w:p w14:paraId="5258B102" w14:textId="2285B858" w:rsidR="0097172F" w:rsidRDefault="0097172F">
      <w:pPr>
        <w:rPr>
          <w:b/>
          <w:bCs/>
        </w:rPr>
      </w:pPr>
    </w:p>
    <w:p w14:paraId="7168D568" w14:textId="1BB8B343" w:rsidR="00D110D0" w:rsidRDefault="00D110D0" w:rsidP="002D501C">
      <w:r w:rsidRPr="008C743E">
        <w:t>An</w:t>
      </w:r>
      <w:r>
        <w:t xml:space="preserve"> additional 419 children and young people are known to the Education Authority VI service</w:t>
      </w:r>
      <w:r w:rsidR="00A70C5F">
        <w:t xml:space="preserve"> but are not on the active caselo</w:t>
      </w:r>
      <w:r w:rsidR="00534EEF">
        <w:t>ad.</w:t>
      </w:r>
    </w:p>
    <w:p w14:paraId="708B6BBE" w14:textId="77777777" w:rsidR="00D110D0" w:rsidRDefault="00D110D0" w:rsidP="002D501C"/>
    <w:p w14:paraId="1B7DD5E3" w14:textId="6905FE50" w:rsidR="002D501C" w:rsidRPr="00F93ACD" w:rsidRDefault="00AA4279" w:rsidP="00AA4279">
      <w:pPr>
        <w:pStyle w:val="Heading3"/>
      </w:pPr>
      <w:bookmarkStart w:id="80" w:name="_Toc129166516"/>
      <w:bookmarkStart w:id="81" w:name="_Toc129166939"/>
      <w:bookmarkStart w:id="82" w:name="_Toc131585370"/>
      <w:bookmarkStart w:id="83" w:name="_Toc954446751"/>
      <w:r>
        <w:t xml:space="preserve">3.2.2 </w:t>
      </w:r>
      <w:r w:rsidR="001C45C5">
        <w:t xml:space="preserve">Number of </w:t>
      </w:r>
      <w:r w:rsidR="0051766E">
        <w:t>children and young people with VI</w:t>
      </w:r>
      <w:r w:rsidR="002D501C">
        <w:t xml:space="preserve"> by statement category</w:t>
      </w:r>
      <w:bookmarkEnd w:id="80"/>
      <w:bookmarkEnd w:id="81"/>
      <w:bookmarkEnd w:id="82"/>
      <w:bookmarkEnd w:id="83"/>
      <w:r w:rsidR="002D501C">
        <w:t xml:space="preserve"> </w:t>
      </w:r>
    </w:p>
    <w:p w14:paraId="67377049" w14:textId="47A9FA1D" w:rsidR="002E02FD" w:rsidRDefault="00FA0599" w:rsidP="00396F1C">
      <w:r>
        <w:t>The total number of children and young people</w:t>
      </w:r>
      <w:r w:rsidR="008353DB">
        <w:t xml:space="preserve"> </w:t>
      </w:r>
      <w:r w:rsidR="00ED6CD8">
        <w:t xml:space="preserve">on the VI service active </w:t>
      </w:r>
      <w:r w:rsidR="00ED6CD8" w:rsidRPr="00E276CE">
        <w:t>caseload</w:t>
      </w:r>
      <w:r w:rsidR="00276F3D" w:rsidRPr="00E276CE">
        <w:t xml:space="preserve"> </w:t>
      </w:r>
      <w:r w:rsidR="009D323E" w:rsidRPr="00E276CE">
        <w:t xml:space="preserve">is </w:t>
      </w:r>
      <w:r w:rsidR="003255E3" w:rsidRPr="008423D3">
        <w:t>86</w:t>
      </w:r>
      <w:r w:rsidR="00D50AC7" w:rsidRPr="008423D3">
        <w:t>7</w:t>
      </w:r>
      <w:r w:rsidR="009D323E" w:rsidRPr="00E276CE">
        <w:t xml:space="preserve">. </w:t>
      </w:r>
      <w:r w:rsidR="00876070" w:rsidRPr="00E276CE">
        <w:t>66</w:t>
      </w:r>
      <w:r w:rsidR="008C743E" w:rsidRPr="00E276CE">
        <w:t xml:space="preserve"> per cent</w:t>
      </w:r>
      <w:r w:rsidR="009D323E">
        <w:t xml:space="preserve"> of these are st</w:t>
      </w:r>
      <w:r w:rsidR="00493FEC">
        <w:t xml:space="preserve">atemented and </w:t>
      </w:r>
      <w:r w:rsidR="00876070">
        <w:t>34</w:t>
      </w:r>
      <w:r w:rsidR="008C743E">
        <w:t xml:space="preserve"> per cent</w:t>
      </w:r>
      <w:r w:rsidR="00876070">
        <w:t xml:space="preserve"> </w:t>
      </w:r>
      <w:r w:rsidR="00010AE0">
        <w:t>do not have a statement.</w:t>
      </w:r>
      <w:r w:rsidR="00C8074B">
        <w:t xml:space="preserve"> </w:t>
      </w:r>
      <w:r w:rsidR="0038005F">
        <w:t>This represents a 7</w:t>
      </w:r>
      <w:r w:rsidR="008C743E">
        <w:t xml:space="preserve"> per cent</w:t>
      </w:r>
      <w:r w:rsidR="0038005F">
        <w:t xml:space="preserve"> increase in </w:t>
      </w:r>
      <w:r w:rsidR="0038005F">
        <w:lastRenderedPageBreak/>
        <w:t xml:space="preserve">statemented </w:t>
      </w:r>
      <w:r w:rsidR="00715B7E">
        <w:t>pupils in the last year</w:t>
      </w:r>
      <w:r w:rsidR="006D237E">
        <w:t xml:space="preserve"> which is significant as </w:t>
      </w:r>
      <w:r w:rsidR="00855C8B">
        <w:t>a higher level of specialist support is likely to be needed for those with statements.</w:t>
      </w:r>
    </w:p>
    <w:p w14:paraId="490F020F" w14:textId="2E6358AC" w:rsidR="005203A5" w:rsidRDefault="005203A5" w:rsidP="00396F1C"/>
    <w:p w14:paraId="19477010" w14:textId="3E0F88BA" w:rsidR="005203A5" w:rsidRDefault="002545D2" w:rsidP="005203A5">
      <w:r>
        <w:t>T</w:t>
      </w:r>
      <w:r w:rsidR="005203A5">
        <w:t xml:space="preserve">he </w:t>
      </w:r>
      <w:r w:rsidR="00A22897">
        <w:t xml:space="preserve">Education Authority </w:t>
      </w:r>
      <w:r w:rsidR="00FF434B">
        <w:t>VI</w:t>
      </w:r>
      <w:r w:rsidR="005203A5">
        <w:t xml:space="preserve"> service in Northern Ireland </w:t>
      </w:r>
      <w:r>
        <w:t>continues to</w:t>
      </w:r>
      <w:r w:rsidR="006D55C5">
        <w:t xml:space="preserve"> </w:t>
      </w:r>
      <w:r w:rsidR="005203A5">
        <w:t>support early years children within a variety of settings, these include:</w:t>
      </w:r>
    </w:p>
    <w:p w14:paraId="64A2D6C6" w14:textId="77777777" w:rsidR="005203A5" w:rsidRPr="00A94B12" w:rsidRDefault="005203A5" w:rsidP="00A94B12">
      <w:pPr>
        <w:pStyle w:val="ListParagraph"/>
        <w:numPr>
          <w:ilvl w:val="0"/>
          <w:numId w:val="10"/>
        </w:numPr>
      </w:pPr>
      <w:r>
        <w:t>Within the child's home</w:t>
      </w:r>
    </w:p>
    <w:p w14:paraId="56165646" w14:textId="77777777" w:rsidR="005203A5" w:rsidRPr="00A94B12" w:rsidRDefault="005203A5" w:rsidP="00A94B12">
      <w:pPr>
        <w:pStyle w:val="ListParagraph"/>
        <w:numPr>
          <w:ilvl w:val="0"/>
          <w:numId w:val="10"/>
        </w:numPr>
      </w:pPr>
      <w:r>
        <w:t>In pre-school/ early years settings (including private creches)</w:t>
      </w:r>
    </w:p>
    <w:p w14:paraId="31B2E9F2" w14:textId="77777777" w:rsidR="005203A5" w:rsidRPr="00A94B12" w:rsidRDefault="005203A5" w:rsidP="00A94B12">
      <w:pPr>
        <w:pStyle w:val="ListParagraph"/>
        <w:numPr>
          <w:ilvl w:val="0"/>
          <w:numId w:val="10"/>
        </w:numPr>
      </w:pPr>
      <w:r>
        <w:t>School settings (</w:t>
      </w:r>
      <w:proofErr w:type="gramStart"/>
      <w:r>
        <w:t>e.g.</w:t>
      </w:r>
      <w:proofErr w:type="gramEnd"/>
      <w:r>
        <w:t xml:space="preserve"> nursery class in mainstream or special school) </w:t>
      </w:r>
    </w:p>
    <w:p w14:paraId="344D9960" w14:textId="5171ED39" w:rsidR="005203A5" w:rsidRDefault="005203A5" w:rsidP="00A94B12">
      <w:pPr>
        <w:pStyle w:val="ListBullet"/>
      </w:pPr>
      <w:r>
        <w:t>In settings where the child is cared for by a childminder (outside of their home)</w:t>
      </w:r>
    </w:p>
    <w:p w14:paraId="3B0384BA" w14:textId="77777777" w:rsidR="00F942BE" w:rsidRPr="00A94B12" w:rsidRDefault="00F942BE" w:rsidP="00A90156"/>
    <w:p w14:paraId="1F3F293A" w14:textId="1272261E" w:rsidR="00376509" w:rsidRPr="00F93ACD" w:rsidRDefault="00376509" w:rsidP="00F149E1">
      <w:pPr>
        <w:pStyle w:val="Heading3"/>
      </w:pPr>
      <w:bookmarkStart w:id="84" w:name="_Toc131585371"/>
      <w:bookmarkStart w:id="85" w:name="_Toc75680846"/>
      <w:r>
        <w:t>3.2.</w:t>
      </w:r>
      <w:r w:rsidR="00221372">
        <w:t>4</w:t>
      </w:r>
      <w:r>
        <w:t xml:space="preserve"> </w:t>
      </w:r>
      <w:r w:rsidRPr="00F93ACD">
        <w:t>Criteria for allocating support levels</w:t>
      </w:r>
      <w:bookmarkEnd w:id="5"/>
      <w:bookmarkEnd w:id="6"/>
      <w:bookmarkEnd w:id="7"/>
      <w:bookmarkEnd w:id="8"/>
      <w:bookmarkEnd w:id="84"/>
      <w:bookmarkEnd w:id="85"/>
    </w:p>
    <w:p w14:paraId="551D4DD1" w14:textId="759F724F" w:rsidR="00376509" w:rsidRDefault="00376509" w:rsidP="00376509">
      <w:r>
        <w:t xml:space="preserve">The Education Authority </w:t>
      </w:r>
      <w:r w:rsidR="00A22897">
        <w:t xml:space="preserve">VI service </w:t>
      </w:r>
      <w:r>
        <w:t>uses criteria based on the</w:t>
      </w:r>
      <w:r w:rsidRPr="008706A5">
        <w:t xml:space="preserve"> </w:t>
      </w:r>
      <w:proofErr w:type="spellStart"/>
      <w:r w:rsidRPr="008706A5">
        <w:t>N</w:t>
      </w:r>
      <w:r>
        <w:t>at</w:t>
      </w:r>
      <w:r w:rsidRPr="008706A5">
        <w:t>SIP</w:t>
      </w:r>
      <w:proofErr w:type="spellEnd"/>
      <w:r w:rsidRPr="008706A5">
        <w:t xml:space="preserve"> </w:t>
      </w:r>
      <w:r>
        <w:t>E</w:t>
      </w:r>
      <w:r w:rsidRPr="008706A5">
        <w:t>ligibility Framework</w:t>
      </w:r>
      <w:r w:rsidR="00524B23">
        <w:t xml:space="preserve"> for allocating support levels</w:t>
      </w:r>
      <w:r>
        <w:t xml:space="preserve">, but </w:t>
      </w:r>
      <w:r w:rsidR="00524B23">
        <w:t xml:space="preserve">they shared </w:t>
      </w:r>
      <w:r>
        <w:t>that th</w:t>
      </w:r>
      <w:r w:rsidR="001403E1">
        <w:t>is</w:t>
      </w:r>
      <w:r>
        <w:t xml:space="preserve"> system is currently under </w:t>
      </w:r>
      <w:r w:rsidRPr="008706A5">
        <w:t>review</w:t>
      </w:r>
      <w:r>
        <w:t xml:space="preserve">. </w:t>
      </w:r>
      <w:r w:rsidR="00524B23">
        <w:t>A</w:t>
      </w:r>
      <w:r w:rsidR="0088224F">
        <w:t xml:space="preserve"> </w:t>
      </w:r>
      <w:r w:rsidR="00B26081">
        <w:t>move</w:t>
      </w:r>
      <w:r w:rsidR="005972C2">
        <w:t xml:space="preserve"> away from a standardised framework </w:t>
      </w:r>
      <w:r w:rsidR="00524B23">
        <w:t xml:space="preserve">could </w:t>
      </w:r>
      <w:r w:rsidR="005972C2">
        <w:t xml:space="preserve">raise concern </w:t>
      </w:r>
      <w:r w:rsidR="00E421E1">
        <w:t xml:space="preserve">over </w:t>
      </w:r>
      <w:r w:rsidR="1CD95DD1">
        <w:t>objectivity</w:t>
      </w:r>
      <w:r w:rsidR="00E421E1">
        <w:t xml:space="preserve"> and </w:t>
      </w:r>
      <w:r w:rsidR="00DD496D">
        <w:t xml:space="preserve">potentially </w:t>
      </w:r>
      <w:r w:rsidR="00E421E1">
        <w:t xml:space="preserve">result in </w:t>
      </w:r>
      <w:r w:rsidR="001A7F0B">
        <w:t>children and young people</w:t>
      </w:r>
      <w:r w:rsidR="00E421E1">
        <w:t xml:space="preserve"> with VI not getting the level of support they require.</w:t>
      </w:r>
    </w:p>
    <w:p w14:paraId="603F2A28" w14:textId="77777777" w:rsidR="00376509" w:rsidRDefault="00376509" w:rsidP="00376509"/>
    <w:p w14:paraId="72413B90" w14:textId="7ABCE48C" w:rsidR="00376509" w:rsidRDefault="00376509" w:rsidP="00376509">
      <w:r>
        <w:t xml:space="preserve">We asked if children and young people </w:t>
      </w:r>
      <w:r w:rsidRPr="008F16CC">
        <w:t xml:space="preserve">with VI </w:t>
      </w:r>
      <w:r>
        <w:t xml:space="preserve">were required </w:t>
      </w:r>
      <w:r w:rsidRPr="008F16CC">
        <w:t xml:space="preserve">to meet any </w:t>
      </w:r>
      <w:r>
        <w:t xml:space="preserve">specific criteria </w:t>
      </w:r>
      <w:r w:rsidRPr="008F16CC">
        <w:t xml:space="preserve">before they </w:t>
      </w:r>
      <w:r>
        <w:t xml:space="preserve">are </w:t>
      </w:r>
      <w:r w:rsidRPr="008F16CC">
        <w:t>considered for assessment for a Statement</w:t>
      </w:r>
      <w:r>
        <w:t xml:space="preserve">. The Education Authority stated that the decision is made based on individual needs, no further information was provided. </w:t>
      </w:r>
    </w:p>
    <w:p w14:paraId="4B96E6E4" w14:textId="77777777" w:rsidR="00376509" w:rsidRDefault="00376509" w:rsidP="00376509"/>
    <w:p w14:paraId="43A3BA06" w14:textId="241EC1E8" w:rsidR="008F0B52" w:rsidRDefault="00376509" w:rsidP="00376509">
      <w:r>
        <w:t xml:space="preserve">The Education Authority stated that the only group of </w:t>
      </w:r>
      <w:r w:rsidRPr="00CE08BB">
        <w:t xml:space="preserve">children and young people with </w:t>
      </w:r>
      <w:r w:rsidR="00410A1C">
        <w:t>VI</w:t>
      </w:r>
      <w:r w:rsidRPr="00CE08BB">
        <w:t xml:space="preserve"> that are</w:t>
      </w:r>
      <w:r>
        <w:t xml:space="preserve"> not</w:t>
      </w:r>
      <w:r w:rsidRPr="00CE08BB">
        <w:t xml:space="preserve"> currently supported by the VI service</w:t>
      </w:r>
      <w:r>
        <w:t xml:space="preserve"> are those in further education. T</w:t>
      </w:r>
      <w:r w:rsidRPr="006E338C">
        <w:t>he E</w:t>
      </w:r>
      <w:r w:rsidR="008F0B52">
        <w:t xml:space="preserve">ducation </w:t>
      </w:r>
      <w:r w:rsidRPr="006E338C">
        <w:t>A</w:t>
      </w:r>
      <w:r w:rsidR="008F0B52">
        <w:t>uthority</w:t>
      </w:r>
      <w:r w:rsidRPr="006E338C">
        <w:t xml:space="preserve"> </w:t>
      </w:r>
      <w:r>
        <w:t>is not commissioned to cover further education provision, specialist services currently stop with young people with VI at the age of 19.</w:t>
      </w:r>
    </w:p>
    <w:p w14:paraId="7724A219" w14:textId="28E711D4" w:rsidR="00376509" w:rsidRDefault="00376509" w:rsidP="00376509">
      <w:r>
        <w:t xml:space="preserve">  </w:t>
      </w:r>
    </w:p>
    <w:p w14:paraId="1D116E3D" w14:textId="0E0EF48B" w:rsidR="000E5EFE" w:rsidRPr="00F93ACD" w:rsidRDefault="00442E3E" w:rsidP="00AE799A">
      <w:pPr>
        <w:pStyle w:val="Heading3"/>
      </w:pPr>
      <w:bookmarkStart w:id="86" w:name="_Toc128143899"/>
      <w:bookmarkStart w:id="87" w:name="_Toc128660350"/>
      <w:bookmarkStart w:id="88" w:name="_Toc129166518"/>
      <w:bookmarkStart w:id="89" w:name="_Toc129166941"/>
      <w:bookmarkStart w:id="90" w:name="_Toc131585372"/>
      <w:bookmarkStart w:id="91" w:name="_Toc1359156668"/>
      <w:r>
        <w:t xml:space="preserve">3.2.4 </w:t>
      </w:r>
      <w:r w:rsidR="000E5EFE" w:rsidRPr="00F30144">
        <w:t>Braille users</w:t>
      </w:r>
      <w:bookmarkEnd w:id="86"/>
      <w:bookmarkEnd w:id="87"/>
      <w:bookmarkEnd w:id="88"/>
      <w:bookmarkEnd w:id="89"/>
      <w:bookmarkEnd w:id="90"/>
      <w:bookmarkEnd w:id="91"/>
    </w:p>
    <w:p w14:paraId="10418E69" w14:textId="42077B8C" w:rsidR="00376509" w:rsidRDefault="000E5EFE" w:rsidP="00442E3E">
      <w:r>
        <w:t xml:space="preserve">A </w:t>
      </w:r>
      <w:r w:rsidRPr="00A90156">
        <w:t xml:space="preserve">total of </w:t>
      </w:r>
      <w:r w:rsidR="00B26081" w:rsidRPr="00A90156">
        <w:t>7</w:t>
      </w:r>
      <w:r w:rsidRPr="00A90156">
        <w:t xml:space="preserve"> children and young people that use braille as their sole or main literacy medium</w:t>
      </w:r>
      <w:r>
        <w:t xml:space="preserve"> are supported across the </w:t>
      </w:r>
      <w:r w:rsidR="00414250">
        <w:t>E</w:t>
      </w:r>
      <w:r>
        <w:t xml:space="preserve">ducation </w:t>
      </w:r>
      <w:r w:rsidR="00414250">
        <w:t>A</w:t>
      </w:r>
      <w:r>
        <w:t xml:space="preserve">uthority. </w:t>
      </w:r>
    </w:p>
    <w:p w14:paraId="4B01CDC0" w14:textId="4C5FD7C5" w:rsidR="00376509" w:rsidRDefault="00FB23F4" w:rsidP="00E12031">
      <w:r>
        <w:t xml:space="preserve">This is </w:t>
      </w:r>
      <w:r w:rsidR="00514A2E">
        <w:t>worth noting</w:t>
      </w:r>
      <w:r>
        <w:t xml:space="preserve"> as a </w:t>
      </w:r>
      <w:proofErr w:type="spellStart"/>
      <w:r>
        <w:t>braillist</w:t>
      </w:r>
      <w:proofErr w:type="spellEnd"/>
      <w:r w:rsidR="00E12031">
        <w:t xml:space="preserve"> requires the highest amount of specialist support and training.</w:t>
      </w:r>
    </w:p>
    <w:p w14:paraId="6C20E12C" w14:textId="446B5496" w:rsidR="00510079" w:rsidRDefault="00510079" w:rsidP="00E12031"/>
    <w:p w14:paraId="589E704E" w14:textId="2AB330A2" w:rsidR="00510079" w:rsidRPr="00F30144" w:rsidRDefault="00A91989" w:rsidP="00510079">
      <w:pPr>
        <w:pStyle w:val="Heading2"/>
      </w:pPr>
      <w:bookmarkStart w:id="92" w:name="_Toc19300782"/>
      <w:bookmarkStart w:id="93" w:name="_Toc121145326"/>
      <w:bookmarkStart w:id="94" w:name="_Toc131585373"/>
      <w:bookmarkStart w:id="95" w:name="_Toc1974228388"/>
      <w:r>
        <w:lastRenderedPageBreak/>
        <w:t xml:space="preserve">3.3 </w:t>
      </w:r>
      <w:bookmarkStart w:id="96" w:name="_Toc128143900"/>
      <w:bookmarkStart w:id="97" w:name="_Toc128660351"/>
      <w:bookmarkStart w:id="98" w:name="_Toc129166519"/>
      <w:bookmarkStart w:id="99" w:name="_Toc129166942"/>
      <w:r w:rsidR="00510079" w:rsidRPr="00F30144">
        <w:t>Teachers and support staff</w:t>
      </w:r>
      <w:bookmarkEnd w:id="92"/>
      <w:bookmarkEnd w:id="93"/>
      <w:bookmarkEnd w:id="94"/>
      <w:bookmarkEnd w:id="95"/>
      <w:bookmarkEnd w:id="96"/>
      <w:bookmarkEnd w:id="97"/>
      <w:bookmarkEnd w:id="98"/>
      <w:bookmarkEnd w:id="99"/>
    </w:p>
    <w:p w14:paraId="51474DCE" w14:textId="553559B5" w:rsidR="00510079" w:rsidRDefault="00A91989" w:rsidP="00AE799A">
      <w:pPr>
        <w:pStyle w:val="Heading3"/>
      </w:pPr>
      <w:bookmarkStart w:id="100" w:name="_Toc128143901"/>
      <w:bookmarkStart w:id="101" w:name="_Toc128660352"/>
      <w:bookmarkStart w:id="102" w:name="_Toc129166520"/>
      <w:bookmarkStart w:id="103" w:name="_Toc129166943"/>
      <w:bookmarkStart w:id="104" w:name="_Toc131585374"/>
      <w:bookmarkStart w:id="105" w:name="_Toc1468157438"/>
      <w:r>
        <w:t xml:space="preserve">3.3.1 </w:t>
      </w:r>
      <w:r w:rsidR="00510079">
        <w:t>Service provision</w:t>
      </w:r>
      <w:bookmarkEnd w:id="100"/>
      <w:bookmarkEnd w:id="101"/>
      <w:bookmarkEnd w:id="102"/>
      <w:bookmarkEnd w:id="103"/>
      <w:bookmarkEnd w:id="104"/>
      <w:bookmarkEnd w:id="105"/>
    </w:p>
    <w:p w14:paraId="3780C023" w14:textId="1180E2AD" w:rsidR="00510079" w:rsidRDefault="00510079" w:rsidP="00510079">
      <w:r>
        <w:t xml:space="preserve">The individual </w:t>
      </w:r>
      <w:r w:rsidRPr="00267FCC">
        <w:t>responsib</w:t>
      </w:r>
      <w:r>
        <w:t>le</w:t>
      </w:r>
      <w:r w:rsidRPr="00267FCC">
        <w:t xml:space="preserve"> for</w:t>
      </w:r>
      <w:r>
        <w:t xml:space="preserve"> the</w:t>
      </w:r>
      <w:r w:rsidRPr="00267FCC">
        <w:t xml:space="preserve"> strategic management of the </w:t>
      </w:r>
      <w:r>
        <w:t>sensory</w:t>
      </w:r>
      <w:r w:rsidRPr="00267FCC">
        <w:t xml:space="preserve"> service</w:t>
      </w:r>
      <w:r>
        <w:t xml:space="preserve"> (including </w:t>
      </w:r>
      <w:r w:rsidR="00FF434B">
        <w:t>VI</w:t>
      </w:r>
      <w:r>
        <w:t xml:space="preserve">) is a </w:t>
      </w:r>
      <w:r w:rsidRPr="0002379F">
        <w:t xml:space="preserve">Qualified </w:t>
      </w:r>
      <w:r>
        <w:t>T</w:t>
      </w:r>
      <w:r w:rsidRPr="0002379F">
        <w:t>eacher of the Deaf (</w:t>
      </w:r>
      <w:proofErr w:type="spellStart"/>
      <w:r>
        <w:t>Q</w:t>
      </w:r>
      <w:r w:rsidRPr="0002379F">
        <w:t>T</w:t>
      </w:r>
      <w:r>
        <w:t>o</w:t>
      </w:r>
      <w:r w:rsidRPr="0002379F">
        <w:t>D</w:t>
      </w:r>
      <w:proofErr w:type="spellEnd"/>
      <w:r w:rsidRPr="0002379F">
        <w:t>)</w:t>
      </w:r>
      <w:r w:rsidR="00561939">
        <w:t xml:space="preserve">. </w:t>
      </w:r>
    </w:p>
    <w:p w14:paraId="47C60BDF" w14:textId="77777777" w:rsidR="00E12031" w:rsidRPr="00E12031" w:rsidRDefault="00E12031" w:rsidP="00E12031"/>
    <w:p w14:paraId="1233097C" w14:textId="3E0117FB" w:rsidR="001655CC" w:rsidRDefault="001655CC" w:rsidP="001655CC">
      <w:pPr>
        <w:pStyle w:val="Heading3"/>
      </w:pPr>
      <w:bookmarkStart w:id="106" w:name="_Toc131585375"/>
      <w:bookmarkStart w:id="107" w:name="_Toc2007109599"/>
      <w:r>
        <w:t xml:space="preserve">3.3.2 </w:t>
      </w:r>
      <w:r w:rsidRPr="00E15EF8">
        <w:t>QTVI posts</w:t>
      </w:r>
      <w:bookmarkEnd w:id="9"/>
      <w:bookmarkEnd w:id="10"/>
      <w:bookmarkEnd w:id="11"/>
      <w:bookmarkEnd w:id="12"/>
      <w:bookmarkEnd w:id="106"/>
      <w:bookmarkEnd w:id="107"/>
    </w:p>
    <w:p w14:paraId="7E726D58" w14:textId="065C7259" w:rsidR="00F50174" w:rsidRDefault="00217525" w:rsidP="001655CC">
      <w:r w:rsidRPr="6AECEF65">
        <w:rPr>
          <w:rFonts w:eastAsia="Arial" w:cs="Arial"/>
          <w:szCs w:val="28"/>
        </w:rPr>
        <w:t xml:space="preserve">The EA told us that the VI service has </w:t>
      </w:r>
      <w:r w:rsidR="7D9EE9E5" w:rsidRPr="6AECEF65">
        <w:rPr>
          <w:rFonts w:eastAsia="Arial" w:cs="Arial"/>
          <w:szCs w:val="28"/>
        </w:rPr>
        <w:t>8</w:t>
      </w:r>
      <w:r w:rsidRPr="6AECEF65">
        <w:rPr>
          <w:rFonts w:eastAsia="Arial" w:cs="Arial"/>
          <w:szCs w:val="28"/>
        </w:rPr>
        <w:t>.6 FTE</w:t>
      </w:r>
      <w:r w:rsidR="00E24393" w:rsidRPr="6AECEF65">
        <w:rPr>
          <w:rFonts w:eastAsia="Arial" w:cs="Arial"/>
          <w:szCs w:val="28"/>
        </w:rPr>
        <w:t xml:space="preserve"> teachers for vision impairment and</w:t>
      </w:r>
      <w:r w:rsidR="001742E0" w:rsidRPr="6AECEF65">
        <w:rPr>
          <w:rFonts w:eastAsia="Arial" w:cs="Arial"/>
          <w:szCs w:val="28"/>
        </w:rPr>
        <w:t xml:space="preserve"> </w:t>
      </w:r>
      <w:r w:rsidR="7D9EE9E5" w:rsidRPr="6AECEF65">
        <w:rPr>
          <w:rFonts w:eastAsia="Arial" w:cs="Arial"/>
          <w:szCs w:val="28"/>
        </w:rPr>
        <w:t xml:space="preserve">one </w:t>
      </w:r>
      <w:r w:rsidR="001742E0" w:rsidRPr="6AECEF65">
        <w:rPr>
          <w:rFonts w:eastAsia="Arial" w:cs="Arial"/>
          <w:szCs w:val="28"/>
        </w:rPr>
        <w:t>for</w:t>
      </w:r>
      <w:r w:rsidR="00E24393" w:rsidRPr="6AECEF65">
        <w:rPr>
          <w:rFonts w:eastAsia="Arial" w:cs="Arial"/>
          <w:szCs w:val="28"/>
        </w:rPr>
        <w:t xml:space="preserve"> multi-sensory impairment</w:t>
      </w:r>
      <w:r w:rsidR="7D9EE9E5" w:rsidRPr="6AECEF65">
        <w:rPr>
          <w:rFonts w:eastAsia="Arial" w:cs="Arial"/>
          <w:szCs w:val="28"/>
        </w:rPr>
        <w:t>. One teacher</w:t>
      </w:r>
      <w:r w:rsidR="00F46124" w:rsidRPr="6AECEF65">
        <w:rPr>
          <w:rFonts w:eastAsia="Arial" w:cs="Arial"/>
          <w:szCs w:val="28"/>
        </w:rPr>
        <w:t xml:space="preserve"> is in</w:t>
      </w:r>
      <w:r w:rsidR="009F714D" w:rsidRPr="6AECEF65">
        <w:rPr>
          <w:rFonts w:eastAsia="Arial" w:cs="Arial"/>
          <w:szCs w:val="28"/>
        </w:rPr>
        <w:t xml:space="preserve"> a</w:t>
      </w:r>
      <w:r w:rsidR="00F46124" w:rsidRPr="6AECEF65">
        <w:rPr>
          <w:rFonts w:eastAsia="Arial" w:cs="Arial"/>
          <w:szCs w:val="28"/>
        </w:rPr>
        <w:t xml:space="preserve"> Lead QTVI post</w:t>
      </w:r>
      <w:r w:rsidR="005D2C22" w:rsidRPr="6AECEF65">
        <w:rPr>
          <w:rFonts w:eastAsia="Arial" w:cs="Arial"/>
          <w:szCs w:val="28"/>
        </w:rPr>
        <w:t xml:space="preserve"> and </w:t>
      </w:r>
      <w:r w:rsidR="00E24393" w:rsidRPr="6AECEF65">
        <w:rPr>
          <w:rFonts w:eastAsia="Arial" w:cs="Arial"/>
          <w:szCs w:val="28"/>
        </w:rPr>
        <w:t>three are in training</w:t>
      </w:r>
      <w:r w:rsidR="005D2C22" w:rsidRPr="007317FE">
        <w:rPr>
          <w:rFonts w:eastAsia="Arial" w:cs="Arial"/>
          <w:szCs w:val="28"/>
        </w:rPr>
        <w:t>;</w:t>
      </w:r>
      <w:r w:rsidR="005D2C22">
        <w:t xml:space="preserve"> t</w:t>
      </w:r>
      <w:r w:rsidR="00CB0DF0">
        <w:t xml:space="preserve">here is a </w:t>
      </w:r>
      <w:r w:rsidR="009B774A">
        <w:t>0.4 FTE</w:t>
      </w:r>
      <w:r w:rsidR="00CB0DF0">
        <w:t xml:space="preserve"> vacancy currently unfilled.</w:t>
      </w:r>
      <w:r w:rsidR="00D075CD">
        <w:t xml:space="preserve"> </w:t>
      </w:r>
      <w:r w:rsidR="004F117C">
        <w:t>In addition,</w:t>
      </w:r>
      <w:r w:rsidR="007166FC">
        <w:t xml:space="preserve"> two QTVIs </w:t>
      </w:r>
      <w:r w:rsidR="00402724">
        <w:t>who are part of the Jordanstown Outreach Service</w:t>
      </w:r>
      <w:r w:rsidR="007332F6">
        <w:t xml:space="preserve"> provide</w:t>
      </w:r>
      <w:r w:rsidR="00942B80">
        <w:t xml:space="preserve"> peripatetic</w:t>
      </w:r>
      <w:r w:rsidR="007332F6">
        <w:t xml:space="preserve"> support</w:t>
      </w:r>
      <w:r w:rsidR="000A2993">
        <w:t xml:space="preserve"> for children and young people with VI</w:t>
      </w:r>
      <w:r w:rsidR="00671B4A">
        <w:t xml:space="preserve"> in Northern Ireland.</w:t>
      </w:r>
    </w:p>
    <w:p w14:paraId="016FEDEF" w14:textId="77777777" w:rsidR="00A90156" w:rsidRDefault="00A90156" w:rsidP="001655CC"/>
    <w:p w14:paraId="4E20ADC1" w14:textId="7B0B2884" w:rsidR="000648FE" w:rsidRDefault="00946ADF" w:rsidP="001655CC">
      <w:r w:rsidRPr="00946ADF">
        <w:t xml:space="preserve">On average, there are 59 children and young people with VI for every </w:t>
      </w:r>
      <w:r w:rsidR="003516E7">
        <w:t>specialist teacher</w:t>
      </w:r>
      <w:r w:rsidRPr="00946ADF">
        <w:t xml:space="preserve"> working for the Education Authority VI team. </w:t>
      </w:r>
      <w:proofErr w:type="gramStart"/>
      <w:r w:rsidRPr="00946ADF">
        <w:t>For each QTVI providing support from the Jordanstown Outreach Service, there</w:t>
      </w:r>
      <w:proofErr w:type="gramEnd"/>
      <w:r w:rsidRPr="00946ADF">
        <w:t xml:space="preserve"> are 151 children and young people with VI.</w:t>
      </w:r>
    </w:p>
    <w:p w14:paraId="761E39F9" w14:textId="77777777" w:rsidR="008423D3" w:rsidRDefault="008423D3" w:rsidP="001655CC"/>
    <w:p w14:paraId="6E3BCFE5" w14:textId="30D6EDAC" w:rsidR="00CF0150" w:rsidRDefault="00946ADF" w:rsidP="001655CC">
      <w:r w:rsidRPr="00946ADF">
        <w:t>High caseloads put pressure on services and can lead to children and young people not receiving the level and type of support they need. In addition, variations in provision can potentially result in different children receiving different levels of support.</w:t>
      </w:r>
    </w:p>
    <w:p w14:paraId="4068B86D" w14:textId="77777777" w:rsidR="008423D3" w:rsidRDefault="008423D3" w:rsidP="001655CC">
      <w:pPr>
        <w:rPr>
          <w:lang w:eastAsia="en-GB"/>
        </w:rPr>
      </w:pPr>
    </w:p>
    <w:p w14:paraId="002C7FCF" w14:textId="18AE631B" w:rsidR="00CF0150" w:rsidRPr="00F30144" w:rsidRDefault="00CF0150" w:rsidP="00CF0150">
      <w:pPr>
        <w:pStyle w:val="Heading2"/>
      </w:pPr>
      <w:bookmarkStart w:id="108" w:name="_Toc121145327"/>
      <w:bookmarkStart w:id="109" w:name="_Toc131585377"/>
      <w:bookmarkStart w:id="110" w:name="_Toc1450076043"/>
      <w:r>
        <w:t xml:space="preserve">3.4 </w:t>
      </w:r>
      <w:bookmarkStart w:id="111" w:name="_Toc128143903"/>
      <w:bookmarkStart w:id="112" w:name="_Toc128660354"/>
      <w:bookmarkStart w:id="113" w:name="_Toc129166522"/>
      <w:bookmarkStart w:id="114" w:name="_Toc129166945"/>
      <w:r w:rsidRPr="00F30144">
        <w:t>Habilitation</w:t>
      </w:r>
      <w:bookmarkEnd w:id="108"/>
      <w:bookmarkEnd w:id="109"/>
      <w:bookmarkEnd w:id="110"/>
      <w:bookmarkEnd w:id="111"/>
      <w:bookmarkEnd w:id="112"/>
      <w:bookmarkEnd w:id="113"/>
      <w:bookmarkEnd w:id="114"/>
    </w:p>
    <w:p w14:paraId="05E0FE80" w14:textId="77777777" w:rsidR="007773B7" w:rsidRDefault="00866B78" w:rsidP="001655CC">
      <w:pPr>
        <w:rPr>
          <w:lang w:eastAsia="en-GB"/>
        </w:rPr>
      </w:pPr>
      <w:r>
        <w:rPr>
          <w:lang w:eastAsia="en-GB"/>
        </w:rPr>
        <w:t xml:space="preserve">Over the last year, the </w:t>
      </w:r>
      <w:r w:rsidR="009042B2">
        <w:rPr>
          <w:lang w:eastAsia="en-GB"/>
        </w:rPr>
        <w:t xml:space="preserve">proportion of children and young people receiving habilitation support funded by the Education Authority </w:t>
      </w:r>
      <w:r w:rsidR="00A90156">
        <w:rPr>
          <w:lang w:eastAsia="en-GB"/>
        </w:rPr>
        <w:t xml:space="preserve">has remained at </w:t>
      </w:r>
      <w:r w:rsidR="009042B2">
        <w:rPr>
          <w:lang w:eastAsia="en-GB"/>
        </w:rPr>
        <w:t>2</w:t>
      </w:r>
      <w:r w:rsidR="00CA36D3">
        <w:rPr>
          <w:lang w:eastAsia="en-GB"/>
        </w:rPr>
        <w:t xml:space="preserve"> per cent</w:t>
      </w:r>
      <w:r w:rsidR="00A90156">
        <w:rPr>
          <w:lang w:eastAsia="en-GB"/>
        </w:rPr>
        <w:t xml:space="preserve">. This </w:t>
      </w:r>
      <w:r w:rsidR="0053741B">
        <w:rPr>
          <w:lang w:eastAsia="en-GB"/>
        </w:rPr>
        <w:t xml:space="preserve">suggests that </w:t>
      </w:r>
      <w:r w:rsidR="00165F9C">
        <w:rPr>
          <w:lang w:eastAsia="en-GB"/>
        </w:rPr>
        <w:t xml:space="preserve">a significant number of children and young people with VI are not getting the specialist support they need to </w:t>
      </w:r>
      <w:r w:rsidR="001622A3">
        <w:rPr>
          <w:lang w:eastAsia="en-GB"/>
        </w:rPr>
        <w:t xml:space="preserve">develop </w:t>
      </w:r>
      <w:r w:rsidR="00193E79">
        <w:rPr>
          <w:lang w:eastAsia="en-GB"/>
        </w:rPr>
        <w:t>their inde</w:t>
      </w:r>
      <w:r w:rsidR="00254A60">
        <w:rPr>
          <w:lang w:eastAsia="en-GB"/>
        </w:rPr>
        <w:t>pe</w:t>
      </w:r>
      <w:r w:rsidR="00193E79">
        <w:rPr>
          <w:lang w:eastAsia="en-GB"/>
        </w:rPr>
        <w:t>ndence to fully access educatio</w:t>
      </w:r>
      <w:r w:rsidR="00C11613">
        <w:rPr>
          <w:lang w:eastAsia="en-GB"/>
        </w:rPr>
        <w:t>n.</w:t>
      </w:r>
    </w:p>
    <w:p w14:paraId="112694DB" w14:textId="38D77940" w:rsidR="00A90156" w:rsidRDefault="00A90156" w:rsidP="001655CC">
      <w:pPr>
        <w:rPr>
          <w:lang w:eastAsia="en-GB"/>
        </w:rPr>
      </w:pPr>
      <w:r>
        <w:rPr>
          <w:lang w:eastAsia="en-GB"/>
        </w:rPr>
        <w:t xml:space="preserve">We do not have information on habilitation for pupils supported by Jordanstown Outreach service. </w:t>
      </w:r>
    </w:p>
    <w:p w14:paraId="7D889822" w14:textId="77777777" w:rsidR="00A90156" w:rsidRDefault="00A90156" w:rsidP="001655CC">
      <w:pPr>
        <w:rPr>
          <w:lang w:eastAsia="en-GB"/>
        </w:rPr>
      </w:pPr>
    </w:p>
    <w:p w14:paraId="10D784D2" w14:textId="3D5358D4" w:rsidR="00E93166" w:rsidRDefault="00D969CA" w:rsidP="001655CC">
      <w:pPr>
        <w:rPr>
          <w:lang w:eastAsia="en-GB"/>
        </w:rPr>
      </w:pPr>
      <w:r>
        <w:rPr>
          <w:lang w:eastAsia="en-GB"/>
        </w:rPr>
        <w:t>A total of</w:t>
      </w:r>
      <w:r w:rsidR="00CA36D3">
        <w:rPr>
          <w:lang w:eastAsia="en-GB"/>
        </w:rPr>
        <w:t xml:space="preserve"> </w:t>
      </w:r>
      <w:r>
        <w:rPr>
          <w:lang w:eastAsia="en-GB"/>
        </w:rPr>
        <w:t>1</w:t>
      </w:r>
      <w:r w:rsidR="00CA36D3">
        <w:rPr>
          <w:lang w:eastAsia="en-GB"/>
        </w:rPr>
        <w:t xml:space="preserve">5 </w:t>
      </w:r>
      <w:r>
        <w:rPr>
          <w:lang w:eastAsia="en-GB"/>
        </w:rPr>
        <w:t xml:space="preserve">of the 45 CYP attending Jordanstown School </w:t>
      </w:r>
      <w:r w:rsidR="001223CF">
        <w:rPr>
          <w:lang w:eastAsia="en-GB"/>
        </w:rPr>
        <w:t>were</w:t>
      </w:r>
      <w:r>
        <w:rPr>
          <w:lang w:eastAsia="en-GB"/>
        </w:rPr>
        <w:t xml:space="preserve"> receiving habilitation</w:t>
      </w:r>
      <w:r w:rsidR="009D4901">
        <w:rPr>
          <w:lang w:eastAsia="en-GB"/>
        </w:rPr>
        <w:t xml:space="preserve"> at the time of the FOI request, which is 33%. </w:t>
      </w:r>
    </w:p>
    <w:p w14:paraId="3EA92EAD" w14:textId="77777777" w:rsidR="00D67F25" w:rsidRDefault="00D67F25" w:rsidP="001655CC">
      <w:pPr>
        <w:rPr>
          <w:lang w:eastAsia="en-GB"/>
        </w:rPr>
      </w:pPr>
    </w:p>
    <w:p w14:paraId="73A304BC" w14:textId="77777777" w:rsidR="00D969CA" w:rsidRDefault="00535820">
      <w:pPr>
        <w:rPr>
          <w:lang w:eastAsia="en-GB"/>
        </w:rPr>
      </w:pPr>
      <w:r>
        <w:rPr>
          <w:lang w:eastAsia="en-GB"/>
        </w:rPr>
        <w:t xml:space="preserve">Habilitation </w:t>
      </w:r>
      <w:r w:rsidR="00011485">
        <w:rPr>
          <w:lang w:eastAsia="en-GB"/>
        </w:rPr>
        <w:t>services are</w:t>
      </w:r>
      <w:r>
        <w:rPr>
          <w:lang w:eastAsia="en-GB"/>
        </w:rPr>
        <w:t xml:space="preserve"> </w:t>
      </w:r>
      <w:r w:rsidR="00DD02F8">
        <w:rPr>
          <w:lang w:eastAsia="en-GB"/>
        </w:rPr>
        <w:t>spot purchased</w:t>
      </w:r>
      <w:r w:rsidR="000623CF">
        <w:rPr>
          <w:lang w:eastAsia="en-GB"/>
        </w:rPr>
        <w:t xml:space="preserve"> with </w:t>
      </w:r>
      <w:r w:rsidR="004F6531">
        <w:rPr>
          <w:lang w:eastAsia="en-GB"/>
        </w:rPr>
        <w:t>commissioning and</w:t>
      </w:r>
      <w:r w:rsidR="00701213">
        <w:rPr>
          <w:lang w:eastAsia="en-GB"/>
        </w:rPr>
        <w:t xml:space="preserve"> </w:t>
      </w:r>
      <w:r w:rsidR="004F6531">
        <w:rPr>
          <w:lang w:eastAsia="en-GB"/>
        </w:rPr>
        <w:t xml:space="preserve">delivery </w:t>
      </w:r>
      <w:r w:rsidR="00701213">
        <w:rPr>
          <w:lang w:eastAsia="en-GB"/>
        </w:rPr>
        <w:t>being the responsibility of</w:t>
      </w:r>
    </w:p>
    <w:p w14:paraId="71C714FC" w14:textId="1DEE2DCB" w:rsidR="00D969CA" w:rsidRDefault="000A64B7" w:rsidP="00D969CA">
      <w:pPr>
        <w:pStyle w:val="ListBullet"/>
        <w:rPr>
          <w:lang w:eastAsia="en-GB"/>
        </w:rPr>
      </w:pPr>
      <w:r>
        <w:rPr>
          <w:lang w:eastAsia="en-GB"/>
        </w:rPr>
        <w:lastRenderedPageBreak/>
        <w:t xml:space="preserve">both </w:t>
      </w:r>
      <w:r w:rsidR="004F6531">
        <w:rPr>
          <w:lang w:eastAsia="en-GB"/>
        </w:rPr>
        <w:t xml:space="preserve">Children and </w:t>
      </w:r>
      <w:r w:rsidR="007F79DA">
        <w:rPr>
          <w:lang w:eastAsia="en-GB"/>
        </w:rPr>
        <w:t>F</w:t>
      </w:r>
      <w:r w:rsidR="004F6531">
        <w:rPr>
          <w:lang w:eastAsia="en-GB"/>
        </w:rPr>
        <w:t xml:space="preserve">amily </w:t>
      </w:r>
      <w:r w:rsidR="007F79DA">
        <w:rPr>
          <w:lang w:eastAsia="en-GB"/>
        </w:rPr>
        <w:t>S</w:t>
      </w:r>
      <w:r w:rsidR="004F6531">
        <w:rPr>
          <w:lang w:eastAsia="en-GB"/>
        </w:rPr>
        <w:t xml:space="preserve">ocial </w:t>
      </w:r>
      <w:r w:rsidR="007F79DA">
        <w:rPr>
          <w:lang w:eastAsia="en-GB"/>
        </w:rPr>
        <w:t>C</w:t>
      </w:r>
      <w:r w:rsidR="004F6531">
        <w:rPr>
          <w:lang w:eastAsia="en-GB"/>
        </w:rPr>
        <w:t>are services and</w:t>
      </w:r>
      <w:r w:rsidR="005E3CD1">
        <w:rPr>
          <w:lang w:eastAsia="en-GB"/>
        </w:rPr>
        <w:t xml:space="preserve"> </w:t>
      </w:r>
    </w:p>
    <w:p w14:paraId="15FC0A9A" w14:textId="78EE873D" w:rsidR="004F6531" w:rsidRDefault="004F6531" w:rsidP="00D969CA">
      <w:pPr>
        <w:pStyle w:val="ListBullet"/>
        <w:rPr>
          <w:lang w:eastAsia="en-GB"/>
        </w:rPr>
      </w:pPr>
      <w:r>
        <w:rPr>
          <w:lang w:eastAsia="en-GB"/>
        </w:rPr>
        <w:t>Education services.</w:t>
      </w:r>
    </w:p>
    <w:p w14:paraId="08CDF1DA" w14:textId="77777777" w:rsidR="00DD02F8" w:rsidRDefault="00DD02F8" w:rsidP="00DD02F8">
      <w:pPr>
        <w:rPr>
          <w:lang w:eastAsia="en-GB"/>
        </w:rPr>
      </w:pPr>
    </w:p>
    <w:p w14:paraId="7CCCF947" w14:textId="0A63E462" w:rsidR="00DD02F8" w:rsidRDefault="00DF2CF7" w:rsidP="00DD02F8">
      <w:pPr>
        <w:rPr>
          <w:lang w:eastAsia="en-GB"/>
        </w:rPr>
      </w:pPr>
      <w:r>
        <w:rPr>
          <w:lang w:eastAsia="en-GB"/>
        </w:rPr>
        <w:t>When made available, h</w:t>
      </w:r>
      <w:r w:rsidR="00F2179A">
        <w:rPr>
          <w:lang w:eastAsia="en-GB"/>
        </w:rPr>
        <w:t xml:space="preserve">abilitation services </w:t>
      </w:r>
      <w:r w:rsidR="00DC397A">
        <w:rPr>
          <w:lang w:eastAsia="en-GB"/>
        </w:rPr>
        <w:t>can be delivered to</w:t>
      </w:r>
      <w:r w:rsidR="00F2179A">
        <w:rPr>
          <w:lang w:eastAsia="en-GB"/>
        </w:rPr>
        <w:t xml:space="preserve"> </w:t>
      </w:r>
      <w:r w:rsidR="00DC397A">
        <w:rPr>
          <w:lang w:eastAsia="en-GB"/>
        </w:rPr>
        <w:t>children and young people</w:t>
      </w:r>
      <w:r w:rsidR="00F2179A">
        <w:rPr>
          <w:lang w:eastAsia="en-GB"/>
        </w:rPr>
        <w:t xml:space="preserve"> in settings including:</w:t>
      </w:r>
    </w:p>
    <w:p w14:paraId="600818D1" w14:textId="06B238AA" w:rsidR="00F2179A" w:rsidRDefault="00F2179A" w:rsidP="00F2179A">
      <w:pPr>
        <w:pStyle w:val="ListBullet"/>
        <w:rPr>
          <w:lang w:eastAsia="en-GB"/>
        </w:rPr>
      </w:pPr>
      <w:r>
        <w:rPr>
          <w:lang w:eastAsia="en-GB"/>
        </w:rPr>
        <w:t>Home</w:t>
      </w:r>
    </w:p>
    <w:p w14:paraId="3EABEEB2" w14:textId="656680D0" w:rsidR="00F2179A" w:rsidRDefault="00F2179A" w:rsidP="00F2179A">
      <w:pPr>
        <w:pStyle w:val="ListBullet"/>
        <w:rPr>
          <w:lang w:eastAsia="en-GB"/>
        </w:rPr>
      </w:pPr>
      <w:r>
        <w:rPr>
          <w:lang w:eastAsia="en-GB"/>
        </w:rPr>
        <w:t>Mainstream school</w:t>
      </w:r>
    </w:p>
    <w:p w14:paraId="4F117839" w14:textId="0FE8526C" w:rsidR="00F2179A" w:rsidRDefault="00F2179A" w:rsidP="00F2179A">
      <w:pPr>
        <w:pStyle w:val="ListBullet"/>
        <w:rPr>
          <w:lang w:eastAsia="en-GB"/>
        </w:rPr>
      </w:pPr>
      <w:r>
        <w:rPr>
          <w:lang w:eastAsia="en-GB"/>
        </w:rPr>
        <w:t>Specialist school/Jordanstown school</w:t>
      </w:r>
    </w:p>
    <w:p w14:paraId="625C6AA8" w14:textId="0DB49D9F" w:rsidR="00F2179A" w:rsidRDefault="00F2179A" w:rsidP="00F2179A">
      <w:pPr>
        <w:pStyle w:val="ListBullet"/>
        <w:rPr>
          <w:lang w:eastAsia="en-GB"/>
        </w:rPr>
      </w:pPr>
      <w:r>
        <w:rPr>
          <w:lang w:eastAsia="en-GB"/>
        </w:rPr>
        <w:t>Community settings</w:t>
      </w:r>
    </w:p>
    <w:p w14:paraId="28C8F7DE" w14:textId="76D879DA" w:rsidR="00F2179A" w:rsidRPr="00F2179A" w:rsidRDefault="00F2179A" w:rsidP="00BE4710">
      <w:pPr>
        <w:pStyle w:val="ListBullet"/>
        <w:rPr>
          <w:lang w:eastAsia="en-GB"/>
        </w:rPr>
      </w:pPr>
      <w:r>
        <w:rPr>
          <w:lang w:eastAsia="en-GB"/>
        </w:rPr>
        <w:t>During school holidays</w:t>
      </w:r>
    </w:p>
    <w:p w14:paraId="50670D12" w14:textId="77777777" w:rsidR="00F2179A" w:rsidRDefault="00F2179A" w:rsidP="00BE4710">
      <w:pPr>
        <w:rPr>
          <w:bCs/>
          <w:lang w:eastAsia="en-GB"/>
        </w:rPr>
      </w:pPr>
    </w:p>
    <w:p w14:paraId="6C48A1B7" w14:textId="0EDA8840" w:rsidR="00A433EC" w:rsidRDefault="00C75ACF" w:rsidP="00BE4710">
      <w:pPr>
        <w:rPr>
          <w:bCs/>
          <w:lang w:eastAsia="en-GB"/>
        </w:rPr>
      </w:pPr>
      <w:r>
        <w:rPr>
          <w:bCs/>
          <w:lang w:eastAsia="en-GB"/>
        </w:rPr>
        <w:t>Referrals</w:t>
      </w:r>
      <w:r w:rsidR="00BE4710" w:rsidRPr="007C5591">
        <w:rPr>
          <w:bCs/>
          <w:lang w:eastAsia="en-GB"/>
        </w:rPr>
        <w:t xml:space="preserve"> for an initial assessment of habilitation </w:t>
      </w:r>
      <w:r>
        <w:rPr>
          <w:bCs/>
          <w:lang w:eastAsia="en-GB"/>
        </w:rPr>
        <w:t xml:space="preserve">are </w:t>
      </w:r>
      <w:r w:rsidR="00BE4710">
        <w:rPr>
          <w:bCs/>
          <w:lang w:eastAsia="en-GB"/>
        </w:rPr>
        <w:t>acc</w:t>
      </w:r>
      <w:r w:rsidR="00BE4710" w:rsidRPr="007C5591">
        <w:rPr>
          <w:bCs/>
          <w:lang w:eastAsia="en-GB"/>
        </w:rPr>
        <w:t>epted from</w:t>
      </w:r>
      <w:r w:rsidR="00BE4710">
        <w:rPr>
          <w:bCs/>
          <w:lang w:eastAsia="en-GB"/>
        </w:rPr>
        <w:t xml:space="preserve"> </w:t>
      </w:r>
      <w:r>
        <w:rPr>
          <w:bCs/>
          <w:lang w:eastAsia="en-GB"/>
        </w:rPr>
        <w:t xml:space="preserve">parents/carers, </w:t>
      </w:r>
      <w:r w:rsidR="00BE4710">
        <w:rPr>
          <w:bCs/>
          <w:lang w:eastAsia="en-GB"/>
        </w:rPr>
        <w:t>m</w:t>
      </w:r>
      <w:r w:rsidR="00BE4710" w:rsidRPr="007C5591">
        <w:rPr>
          <w:bCs/>
          <w:lang w:eastAsia="en-GB"/>
        </w:rPr>
        <w:t>edical professionals</w:t>
      </w:r>
      <w:r w:rsidR="00BE4710">
        <w:rPr>
          <w:bCs/>
          <w:lang w:eastAsia="en-GB"/>
        </w:rPr>
        <w:t>,</w:t>
      </w:r>
      <w:r>
        <w:rPr>
          <w:bCs/>
          <w:lang w:eastAsia="en-GB"/>
        </w:rPr>
        <w:t xml:space="preserve"> QTVIs</w:t>
      </w:r>
      <w:r w:rsidR="00BE4710">
        <w:rPr>
          <w:bCs/>
          <w:lang w:eastAsia="en-GB"/>
        </w:rPr>
        <w:t xml:space="preserve">, </w:t>
      </w:r>
      <w:r>
        <w:rPr>
          <w:bCs/>
          <w:lang w:eastAsia="en-GB"/>
        </w:rPr>
        <w:t xml:space="preserve">and </w:t>
      </w:r>
      <w:r w:rsidR="00BE4710">
        <w:rPr>
          <w:bCs/>
          <w:lang w:eastAsia="en-GB"/>
        </w:rPr>
        <w:t>o</w:t>
      </w:r>
      <w:r w:rsidR="00BE4710" w:rsidRPr="007C5591">
        <w:rPr>
          <w:bCs/>
          <w:lang w:eastAsia="en-GB"/>
        </w:rPr>
        <w:t>ther education professionals</w:t>
      </w:r>
      <w:r>
        <w:rPr>
          <w:bCs/>
          <w:lang w:eastAsia="en-GB"/>
        </w:rPr>
        <w:t>.</w:t>
      </w:r>
      <w:r w:rsidR="00D969CA">
        <w:rPr>
          <w:bCs/>
          <w:lang w:eastAsia="en-GB"/>
        </w:rPr>
        <w:t xml:space="preserve"> </w:t>
      </w:r>
      <w:r w:rsidR="00A433EC">
        <w:rPr>
          <w:bCs/>
          <w:lang w:eastAsia="en-GB"/>
        </w:rPr>
        <w:t xml:space="preserve">Upon receipt of the referral, </w:t>
      </w:r>
      <w:r w:rsidR="004A22EB">
        <w:rPr>
          <w:bCs/>
          <w:lang w:eastAsia="en-GB"/>
        </w:rPr>
        <w:t xml:space="preserve">a </w:t>
      </w:r>
      <w:r w:rsidR="004A22EB" w:rsidRPr="004A22EB">
        <w:rPr>
          <w:bCs/>
          <w:lang w:eastAsia="en-GB"/>
        </w:rPr>
        <w:t xml:space="preserve">Habilitation Officer </w:t>
      </w:r>
      <w:r w:rsidR="004A22EB">
        <w:rPr>
          <w:bCs/>
          <w:lang w:eastAsia="en-GB"/>
        </w:rPr>
        <w:t xml:space="preserve">at </w:t>
      </w:r>
      <w:r w:rsidR="004A22EB" w:rsidRPr="004A22EB">
        <w:rPr>
          <w:bCs/>
          <w:lang w:eastAsia="en-GB"/>
        </w:rPr>
        <w:t>NI Guide Dogs Children's Services</w:t>
      </w:r>
      <w:r w:rsidR="004A22EB">
        <w:rPr>
          <w:bCs/>
          <w:lang w:eastAsia="en-GB"/>
        </w:rPr>
        <w:t xml:space="preserve"> carries out the initial assessment of habilitation needs</w:t>
      </w:r>
      <w:r w:rsidR="00F91CA4">
        <w:rPr>
          <w:bCs/>
          <w:lang w:eastAsia="en-GB"/>
        </w:rPr>
        <w:t>.</w:t>
      </w:r>
    </w:p>
    <w:p w14:paraId="02195AA5" w14:textId="77777777" w:rsidR="004A3E7D" w:rsidRDefault="004A3E7D" w:rsidP="00BE4710">
      <w:pPr>
        <w:rPr>
          <w:bCs/>
          <w:lang w:eastAsia="en-GB"/>
        </w:rPr>
      </w:pPr>
    </w:p>
    <w:p w14:paraId="7F87754B" w14:textId="77777777" w:rsidR="004A3E7D" w:rsidRDefault="004A3E7D" w:rsidP="004A3E7D">
      <w:pPr>
        <w:rPr>
          <w:lang w:eastAsia="en-GB"/>
        </w:rPr>
      </w:pPr>
      <w:r>
        <w:t xml:space="preserve">No data was collected on the numbers of children and young people with VI accessing habilitation support in the community as </w:t>
      </w:r>
      <w:proofErr w:type="gramStart"/>
      <w:r>
        <w:t>this falls</w:t>
      </w:r>
      <w:proofErr w:type="gramEnd"/>
      <w:r>
        <w:t xml:space="preserve"> outside the remit of this report.</w:t>
      </w:r>
    </w:p>
    <w:p w14:paraId="6CE6576C" w14:textId="77777777" w:rsidR="008423D3" w:rsidRDefault="008423D3" w:rsidP="00F74EDB">
      <w:pPr>
        <w:rPr>
          <w:lang w:eastAsia="en-GB"/>
        </w:rPr>
      </w:pPr>
      <w:bookmarkStart w:id="115" w:name="_Toc121145328"/>
      <w:bookmarkStart w:id="116" w:name="_Toc131585378"/>
    </w:p>
    <w:p w14:paraId="6D100E50" w14:textId="12589F5C" w:rsidR="002E75E7" w:rsidRPr="00F30144" w:rsidRDefault="002E75E7" w:rsidP="008423D3">
      <w:pPr>
        <w:pStyle w:val="Heading3"/>
      </w:pPr>
      <w:bookmarkStart w:id="117" w:name="_Toc730566309"/>
      <w:r>
        <w:t xml:space="preserve">3.5 </w:t>
      </w:r>
      <w:bookmarkEnd w:id="115"/>
      <w:r w:rsidR="00BA67EA">
        <w:t xml:space="preserve">Curriculum Framework for </w:t>
      </w:r>
      <w:r w:rsidR="00307B33">
        <w:t>c</w:t>
      </w:r>
      <w:r w:rsidR="00BA67EA">
        <w:t xml:space="preserve">hildren and </w:t>
      </w:r>
      <w:r w:rsidR="00307B33">
        <w:t>y</w:t>
      </w:r>
      <w:r w:rsidR="00BA67EA">
        <w:t xml:space="preserve">oung </w:t>
      </w:r>
      <w:r w:rsidR="00307B33">
        <w:t>p</w:t>
      </w:r>
      <w:r w:rsidR="00BA67EA">
        <w:t>eople with Vision Impairment (CFVI)</w:t>
      </w:r>
      <w:bookmarkEnd w:id="116"/>
      <w:bookmarkEnd w:id="117"/>
    </w:p>
    <w:p w14:paraId="12B8F6C5" w14:textId="4B39EAF1" w:rsidR="002E75E7" w:rsidRDefault="002E75E7" w:rsidP="002E75E7">
      <w:pPr>
        <w:rPr>
          <w:bCs/>
          <w:lang w:eastAsia="en-GB"/>
        </w:rPr>
      </w:pPr>
      <w:r>
        <w:rPr>
          <w:bCs/>
          <w:lang w:eastAsia="en-GB"/>
        </w:rPr>
        <w:t xml:space="preserve">The Education Authority </w:t>
      </w:r>
      <w:r w:rsidR="003D077A">
        <w:rPr>
          <w:bCs/>
          <w:lang w:eastAsia="en-GB"/>
        </w:rPr>
        <w:t>VI service</w:t>
      </w:r>
      <w:r w:rsidR="007862C3">
        <w:rPr>
          <w:bCs/>
          <w:lang w:eastAsia="en-GB"/>
        </w:rPr>
        <w:t xml:space="preserve"> is</w:t>
      </w:r>
      <w:r w:rsidR="003D077A">
        <w:rPr>
          <w:bCs/>
          <w:lang w:eastAsia="en-GB"/>
        </w:rPr>
        <w:t xml:space="preserve"> incorporat</w:t>
      </w:r>
      <w:r w:rsidR="007862C3">
        <w:rPr>
          <w:bCs/>
          <w:lang w:eastAsia="en-GB"/>
        </w:rPr>
        <w:t>ing</w:t>
      </w:r>
      <w:r w:rsidR="003D077A">
        <w:rPr>
          <w:bCs/>
          <w:lang w:eastAsia="en-GB"/>
        </w:rPr>
        <w:t xml:space="preserve"> aspects of the CFVI in normal working practices</w:t>
      </w:r>
      <w:r w:rsidR="006E75B3">
        <w:rPr>
          <w:bCs/>
          <w:lang w:eastAsia="en-GB"/>
        </w:rPr>
        <w:t xml:space="preserve"> and </w:t>
      </w:r>
      <w:r w:rsidR="00B90740">
        <w:rPr>
          <w:bCs/>
          <w:lang w:eastAsia="en-GB"/>
        </w:rPr>
        <w:t>is</w:t>
      </w:r>
      <w:r w:rsidR="006E75B3">
        <w:rPr>
          <w:bCs/>
          <w:lang w:eastAsia="en-GB"/>
        </w:rPr>
        <w:t xml:space="preserve"> actively involved with the CFVI project as </w:t>
      </w:r>
      <w:r w:rsidR="00F24C97">
        <w:rPr>
          <w:bCs/>
          <w:lang w:eastAsia="en-GB"/>
        </w:rPr>
        <w:t>a reference group member and resource reviewer</w:t>
      </w:r>
      <w:r w:rsidR="007862C3">
        <w:rPr>
          <w:bCs/>
          <w:lang w:eastAsia="en-GB"/>
        </w:rPr>
        <w:t xml:space="preserve">. It also </w:t>
      </w:r>
      <w:r>
        <w:rPr>
          <w:bCs/>
          <w:lang w:eastAsia="en-GB"/>
        </w:rPr>
        <w:t xml:space="preserve">uses the following </w:t>
      </w:r>
      <w:r w:rsidRPr="00615FAF">
        <w:rPr>
          <w:bCs/>
          <w:lang w:eastAsia="en-GB"/>
        </w:rPr>
        <w:t>framework</w:t>
      </w:r>
      <w:r>
        <w:rPr>
          <w:bCs/>
          <w:lang w:eastAsia="en-GB"/>
        </w:rPr>
        <w:t>s</w:t>
      </w:r>
      <w:r w:rsidRPr="00615FAF">
        <w:rPr>
          <w:bCs/>
          <w:lang w:eastAsia="en-GB"/>
        </w:rPr>
        <w:t xml:space="preserve"> or curriculum</w:t>
      </w:r>
      <w:r w:rsidR="00780A63">
        <w:rPr>
          <w:bCs/>
          <w:lang w:eastAsia="en-GB"/>
        </w:rPr>
        <w:t>s</w:t>
      </w:r>
      <w:r w:rsidRPr="00615FAF">
        <w:rPr>
          <w:bCs/>
          <w:lang w:eastAsia="en-GB"/>
        </w:rPr>
        <w:t xml:space="preserve"> </w:t>
      </w:r>
      <w:r>
        <w:rPr>
          <w:bCs/>
          <w:lang w:eastAsia="en-GB"/>
        </w:rPr>
        <w:t>to</w:t>
      </w:r>
      <w:r w:rsidRPr="00615FAF">
        <w:rPr>
          <w:bCs/>
          <w:lang w:eastAsia="en-GB"/>
        </w:rPr>
        <w:t xml:space="preserve"> support </w:t>
      </w:r>
      <w:r>
        <w:rPr>
          <w:bCs/>
          <w:lang w:eastAsia="en-GB"/>
        </w:rPr>
        <w:t xml:space="preserve">children and young people with </w:t>
      </w:r>
      <w:r w:rsidR="0038139C">
        <w:rPr>
          <w:bCs/>
          <w:lang w:eastAsia="en-GB"/>
        </w:rPr>
        <w:t>VI</w:t>
      </w:r>
      <w:r>
        <w:rPr>
          <w:bCs/>
          <w:lang w:eastAsia="en-GB"/>
        </w:rPr>
        <w:t>:</w:t>
      </w:r>
    </w:p>
    <w:p w14:paraId="07F6F5A6" w14:textId="77777777" w:rsidR="008423D3" w:rsidRDefault="008423D3" w:rsidP="002E75E7">
      <w:pPr>
        <w:rPr>
          <w:bCs/>
          <w:lang w:eastAsia="en-GB"/>
        </w:rPr>
      </w:pPr>
    </w:p>
    <w:p w14:paraId="5CDFB1A4" w14:textId="3E9C78F1" w:rsidR="002E75E7" w:rsidRPr="0088377D" w:rsidRDefault="002E75E7" w:rsidP="008423D3">
      <w:pPr>
        <w:pStyle w:val="ListBullet"/>
        <w:rPr>
          <w:lang w:eastAsia="en-GB"/>
        </w:rPr>
      </w:pPr>
      <w:proofErr w:type="spellStart"/>
      <w:r w:rsidRPr="0088377D">
        <w:rPr>
          <w:lang w:eastAsia="en-GB"/>
        </w:rPr>
        <w:t>NatSIP</w:t>
      </w:r>
      <w:proofErr w:type="spellEnd"/>
      <w:r w:rsidRPr="0088377D">
        <w:rPr>
          <w:lang w:eastAsia="en-GB"/>
        </w:rPr>
        <w:t xml:space="preserve"> Learner Outcomes Framework</w:t>
      </w:r>
    </w:p>
    <w:p w14:paraId="0CAEC4C3" w14:textId="13D8843A" w:rsidR="002E75E7" w:rsidRPr="0088377D" w:rsidRDefault="002E75E7" w:rsidP="008423D3">
      <w:pPr>
        <w:pStyle w:val="ListBullet"/>
        <w:rPr>
          <w:lang w:eastAsia="en-GB"/>
        </w:rPr>
      </w:pPr>
      <w:r w:rsidRPr="0088377D">
        <w:rPr>
          <w:lang w:eastAsia="en-GB"/>
        </w:rPr>
        <w:t>Developmental Journal (DJVI)</w:t>
      </w:r>
    </w:p>
    <w:p w14:paraId="696FFECB" w14:textId="420A993C" w:rsidR="002E75E7" w:rsidRPr="002D4398" w:rsidRDefault="006F3A4F" w:rsidP="008423D3">
      <w:pPr>
        <w:pStyle w:val="ListBullet"/>
        <w:rPr>
          <w:lang w:eastAsia="en-GB"/>
        </w:rPr>
      </w:pPr>
      <w:r>
        <w:rPr>
          <w:lang w:eastAsia="en-GB"/>
        </w:rPr>
        <w:t xml:space="preserve">A bespoke programme designed in </w:t>
      </w:r>
      <w:proofErr w:type="gramStart"/>
      <w:r>
        <w:rPr>
          <w:lang w:eastAsia="en-GB"/>
        </w:rPr>
        <w:t>house</w:t>
      </w:r>
      <w:proofErr w:type="gramEnd"/>
    </w:p>
    <w:p w14:paraId="329F11EA" w14:textId="18CAE644" w:rsidR="7EEADA83" w:rsidRDefault="7EEADA83" w:rsidP="00C91B98">
      <w:pPr>
        <w:pStyle w:val="ListBullet"/>
        <w:numPr>
          <w:ilvl w:val="0"/>
          <w:numId w:val="0"/>
        </w:numPr>
        <w:rPr>
          <w:szCs w:val="28"/>
          <w:lang w:eastAsia="en-GB"/>
        </w:rPr>
      </w:pPr>
    </w:p>
    <w:p w14:paraId="7B3FB896" w14:textId="54D59034" w:rsidR="005E5521" w:rsidRDefault="005E5521" w:rsidP="008423D3">
      <w:pPr>
        <w:pStyle w:val="Heading2"/>
      </w:pPr>
      <w:bookmarkStart w:id="118" w:name="_Toc1085857789"/>
      <w:r>
        <w:t>4 Conclusion</w:t>
      </w:r>
      <w:bookmarkEnd w:id="118"/>
    </w:p>
    <w:p w14:paraId="16EF0C57" w14:textId="12024933" w:rsidR="00F80EFD" w:rsidRDefault="00F80EFD" w:rsidP="00F80EFD">
      <w:r>
        <w:t xml:space="preserve">Specialist support for children and young people with VI is vital to enable them to access education and the wider world </w:t>
      </w:r>
      <w:r w:rsidR="00680713">
        <w:t xml:space="preserve">fully and </w:t>
      </w:r>
      <w:r>
        <w:t>with as much independence as possible.</w:t>
      </w:r>
    </w:p>
    <w:p w14:paraId="6BB910C3" w14:textId="77777777" w:rsidR="00F80EFD" w:rsidRDefault="00F80EFD" w:rsidP="00F80EFD"/>
    <w:p w14:paraId="30F2C8DA" w14:textId="06F1BD15" w:rsidR="002E75E7" w:rsidRDefault="00F80EFD" w:rsidP="00730673">
      <w:r>
        <w:lastRenderedPageBreak/>
        <w:t>To ensure that children and young people with VI now, and in the future, can access the support they need we are calling on Department of Education to:</w:t>
      </w:r>
    </w:p>
    <w:p w14:paraId="24BA0C82" w14:textId="5D91F8E4" w:rsidR="00730673" w:rsidRDefault="00730673" w:rsidP="00730673">
      <w:pPr>
        <w:pStyle w:val="ListParagraph"/>
        <w:numPr>
          <w:ilvl w:val="0"/>
          <w:numId w:val="10"/>
        </w:numPr>
      </w:pPr>
      <w:r>
        <w:t xml:space="preserve">Recognise and reference the </w:t>
      </w:r>
      <w:r w:rsidR="532C6A24">
        <w:t>CFVI</w:t>
      </w:r>
      <w:r>
        <w:t xml:space="preserve"> in SEN policies, guidance and documentation including any new SEN legislation.</w:t>
      </w:r>
    </w:p>
    <w:p w14:paraId="107E998B" w14:textId="1DD062FF" w:rsidR="00730673" w:rsidRDefault="00730673" w:rsidP="00730673">
      <w:pPr>
        <w:pStyle w:val="ListParagraph"/>
        <w:numPr>
          <w:ilvl w:val="0"/>
          <w:numId w:val="10"/>
        </w:numPr>
      </w:pPr>
      <w:r>
        <w:t>Provide adequate</w:t>
      </w:r>
      <w:r w:rsidR="008A5017">
        <w:t xml:space="preserve">, </w:t>
      </w:r>
      <w:proofErr w:type="gramStart"/>
      <w:r>
        <w:t>protected</w:t>
      </w:r>
      <w:proofErr w:type="gramEnd"/>
      <w:r>
        <w:t xml:space="preserve"> </w:t>
      </w:r>
      <w:r w:rsidR="008A5017">
        <w:t xml:space="preserve">and sustainable </w:t>
      </w:r>
      <w:r>
        <w:t>high needs funding to deliver specialist education services which meet the needs of children and young people with VI from 0-19. </w:t>
      </w:r>
    </w:p>
    <w:p w14:paraId="121607B9" w14:textId="4515E18D" w:rsidR="001747EB" w:rsidRDefault="001747EB" w:rsidP="00730673">
      <w:pPr>
        <w:pStyle w:val="ListParagraph"/>
        <w:numPr>
          <w:ilvl w:val="0"/>
          <w:numId w:val="10"/>
        </w:numPr>
      </w:pPr>
      <w:r>
        <w:t xml:space="preserve">Use the SEND Transformation Programme to </w:t>
      </w:r>
      <w:r w:rsidR="0093058D">
        <w:t>implement a strategy for delivery of specialist support for children and young people with VI</w:t>
      </w:r>
      <w:r w:rsidR="00A24619">
        <w:t xml:space="preserve"> that will ensure equity of provision</w:t>
      </w:r>
      <w:r w:rsidR="00346274">
        <w:t>, and an appropriate level of provision,</w:t>
      </w:r>
      <w:r w:rsidR="00A24619">
        <w:t xml:space="preserve"> across Northern Ireland</w:t>
      </w:r>
      <w:r w:rsidR="005B0840">
        <w:t>.</w:t>
      </w:r>
    </w:p>
    <w:p w14:paraId="00583E8F" w14:textId="77777777" w:rsidR="00730673" w:rsidRPr="00D77DDD" w:rsidRDefault="00730673" w:rsidP="00730673">
      <w:pPr>
        <w:pStyle w:val="paragraph"/>
        <w:numPr>
          <w:ilvl w:val="0"/>
          <w:numId w:val="10"/>
        </w:numPr>
        <w:spacing w:before="0" w:beforeAutospacing="0" w:after="0" w:afterAutospacing="0"/>
        <w:textAlignment w:val="baseline"/>
      </w:pPr>
      <w:r>
        <w:rPr>
          <w:rFonts w:ascii="Arial" w:hAnsi="Arial" w:cs="Arial"/>
          <w:sz w:val="28"/>
          <w:szCs w:val="28"/>
        </w:rPr>
        <w:t>Agree a habilitation specific funding stream, increase funding,</w:t>
      </w:r>
      <w:r w:rsidRPr="006C3E1C">
        <w:rPr>
          <w:rFonts w:ascii="Arial" w:hAnsi="Arial" w:cs="Arial"/>
          <w:sz w:val="28"/>
          <w:szCs w:val="28"/>
        </w:rPr>
        <w:t xml:space="preserve"> and implement a clear strategy to ensure appropriate access to habilitation services for children and young people with </w:t>
      </w:r>
      <w:r>
        <w:rPr>
          <w:rFonts w:ascii="Arial" w:hAnsi="Arial" w:cs="Arial"/>
          <w:sz w:val="28"/>
          <w:szCs w:val="28"/>
        </w:rPr>
        <w:t>VI</w:t>
      </w:r>
      <w:r w:rsidRPr="006C3E1C">
        <w:rPr>
          <w:rFonts w:ascii="Arial" w:hAnsi="Arial" w:cs="Arial"/>
          <w:sz w:val="28"/>
          <w:szCs w:val="28"/>
        </w:rPr>
        <w:t>.</w:t>
      </w:r>
    </w:p>
    <w:p w14:paraId="2E03ED52" w14:textId="77777777" w:rsidR="00730673" w:rsidRPr="00D77DDD" w:rsidRDefault="00730673" w:rsidP="008423D3"/>
    <w:sectPr w:rsidR="00730673" w:rsidRPr="00D77DDD" w:rsidSect="00836C85">
      <w:headerReference w:type="default" r:id="rId11"/>
      <w:footerReference w:type="default" r:id="rId12"/>
      <w:endnotePr>
        <w:numFmt w:val="decimal"/>
      </w:endnotePr>
      <w:type w:val="continuous"/>
      <w:pgSz w:w="11906" w:h="16838"/>
      <w:pgMar w:top="250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A11E" w14:textId="77777777" w:rsidR="00A904F1" w:rsidRDefault="00A904F1" w:rsidP="00E539B0">
      <w:r>
        <w:separator/>
      </w:r>
    </w:p>
  </w:endnote>
  <w:endnote w:type="continuationSeparator" w:id="0">
    <w:p w14:paraId="7773DE6B" w14:textId="77777777" w:rsidR="00A904F1" w:rsidRDefault="00A904F1" w:rsidP="00E539B0">
      <w:r>
        <w:continuationSeparator/>
      </w:r>
    </w:p>
  </w:endnote>
  <w:endnote w:type="continuationNotice" w:id="1">
    <w:p w14:paraId="39D44908" w14:textId="77777777" w:rsidR="00A904F1" w:rsidRDefault="00A90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33342AA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3559A8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3A95" w14:textId="77777777" w:rsidR="00A904F1" w:rsidRDefault="00A904F1" w:rsidP="00E539B0">
      <w:r>
        <w:separator/>
      </w:r>
    </w:p>
  </w:footnote>
  <w:footnote w:type="continuationSeparator" w:id="0">
    <w:p w14:paraId="3D8C128E" w14:textId="77777777" w:rsidR="00A904F1" w:rsidRDefault="00A904F1" w:rsidP="00E539B0">
      <w:r>
        <w:continuationSeparator/>
      </w:r>
    </w:p>
  </w:footnote>
  <w:footnote w:type="continuationNotice" w:id="1">
    <w:p w14:paraId="2E602C4B" w14:textId="77777777" w:rsidR="00A904F1" w:rsidRDefault="00A90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FD0" w14:textId="712F582D" w:rsidR="00836C85" w:rsidRPr="00836C85" w:rsidRDefault="00836C85" w:rsidP="00836C85">
    <w:pPr>
      <w:pStyle w:val="Header"/>
    </w:pPr>
    <w:r>
      <w:rPr>
        <w:noProof/>
      </w:rPr>
      <w:drawing>
        <wp:anchor distT="0" distB="0" distL="114300" distR="114300" simplePos="0" relativeHeight="251658240" behindDoc="0" locked="0" layoutInCell="1" allowOverlap="1" wp14:anchorId="4056BC78" wp14:editId="337511B7">
          <wp:simplePos x="0" y="0"/>
          <wp:positionH relativeFrom="column">
            <wp:posOffset>-191770</wp:posOffset>
          </wp:positionH>
          <wp:positionV relativeFrom="paragraph">
            <wp:posOffset>-335915</wp:posOffset>
          </wp:positionV>
          <wp:extent cx="1466850" cy="1466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a:effectLst/>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15EAF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A0DA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E04D77"/>
    <w:multiLevelType w:val="hybridMultilevel"/>
    <w:tmpl w:val="1A2C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501D84"/>
    <w:multiLevelType w:val="multilevel"/>
    <w:tmpl w:val="242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67702"/>
    <w:multiLevelType w:val="hybridMultilevel"/>
    <w:tmpl w:val="C7C2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A10C1"/>
    <w:multiLevelType w:val="hybridMultilevel"/>
    <w:tmpl w:val="DE22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A0032"/>
    <w:multiLevelType w:val="hybridMultilevel"/>
    <w:tmpl w:val="7430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26D6B"/>
    <w:multiLevelType w:val="hybridMultilevel"/>
    <w:tmpl w:val="097A06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AE0C39"/>
    <w:multiLevelType w:val="hybridMultilevel"/>
    <w:tmpl w:val="13226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B37D52"/>
    <w:multiLevelType w:val="hybridMultilevel"/>
    <w:tmpl w:val="18C0C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4324808">
    <w:abstractNumId w:val="1"/>
  </w:num>
  <w:num w:numId="2" w16cid:durableId="966009219">
    <w:abstractNumId w:val="0"/>
  </w:num>
  <w:num w:numId="3" w16cid:durableId="1531144763">
    <w:abstractNumId w:val="11"/>
  </w:num>
  <w:num w:numId="4" w16cid:durableId="1126780607">
    <w:abstractNumId w:val="5"/>
  </w:num>
  <w:num w:numId="5" w16cid:durableId="20740921">
    <w:abstractNumId w:val="14"/>
  </w:num>
  <w:num w:numId="6" w16cid:durableId="916675092">
    <w:abstractNumId w:val="12"/>
  </w:num>
  <w:num w:numId="7" w16cid:durableId="1218471726">
    <w:abstractNumId w:val="2"/>
  </w:num>
  <w:num w:numId="8" w16cid:durableId="564686622">
    <w:abstractNumId w:val="3"/>
  </w:num>
  <w:num w:numId="9" w16cid:durableId="240455128">
    <w:abstractNumId w:val="7"/>
  </w:num>
  <w:num w:numId="10" w16cid:durableId="354231167">
    <w:abstractNumId w:val="10"/>
  </w:num>
  <w:num w:numId="11" w16cid:durableId="1251893958">
    <w:abstractNumId w:val="6"/>
  </w:num>
  <w:num w:numId="12" w16cid:durableId="1887180002">
    <w:abstractNumId w:val="8"/>
  </w:num>
  <w:num w:numId="13" w16cid:durableId="1290236567">
    <w:abstractNumId w:val="9"/>
  </w:num>
  <w:num w:numId="14" w16cid:durableId="1456756474">
    <w:abstractNumId w:val="4"/>
  </w:num>
  <w:num w:numId="15" w16cid:durableId="1916284693">
    <w:abstractNumId w:val="13"/>
  </w:num>
  <w:num w:numId="16" w16cid:durableId="18179923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CC"/>
    <w:rsid w:val="000007A1"/>
    <w:rsid w:val="00000895"/>
    <w:rsid w:val="000016B9"/>
    <w:rsid w:val="00001D32"/>
    <w:rsid w:val="0000413C"/>
    <w:rsid w:val="0000486B"/>
    <w:rsid w:val="00007264"/>
    <w:rsid w:val="00010AE0"/>
    <w:rsid w:val="00011485"/>
    <w:rsid w:val="0001269B"/>
    <w:rsid w:val="000126A7"/>
    <w:rsid w:val="0001392E"/>
    <w:rsid w:val="00013A3D"/>
    <w:rsid w:val="0001695A"/>
    <w:rsid w:val="00016E63"/>
    <w:rsid w:val="00016E65"/>
    <w:rsid w:val="0001767A"/>
    <w:rsid w:val="00023573"/>
    <w:rsid w:val="0002467D"/>
    <w:rsid w:val="00024B1F"/>
    <w:rsid w:val="00030C97"/>
    <w:rsid w:val="000329A4"/>
    <w:rsid w:val="000339A9"/>
    <w:rsid w:val="0003646A"/>
    <w:rsid w:val="000372FC"/>
    <w:rsid w:val="000465E7"/>
    <w:rsid w:val="00047173"/>
    <w:rsid w:val="000623CF"/>
    <w:rsid w:val="000648FE"/>
    <w:rsid w:val="00064EAC"/>
    <w:rsid w:val="0006620F"/>
    <w:rsid w:val="000667BA"/>
    <w:rsid w:val="000676EF"/>
    <w:rsid w:val="00070C02"/>
    <w:rsid w:val="000720E4"/>
    <w:rsid w:val="00073AB3"/>
    <w:rsid w:val="00075118"/>
    <w:rsid w:val="000817E4"/>
    <w:rsid w:val="00093F30"/>
    <w:rsid w:val="00096427"/>
    <w:rsid w:val="000A2912"/>
    <w:rsid w:val="000A2993"/>
    <w:rsid w:val="000A2F12"/>
    <w:rsid w:val="000A64B7"/>
    <w:rsid w:val="000B0784"/>
    <w:rsid w:val="000B0DC2"/>
    <w:rsid w:val="000B5BCF"/>
    <w:rsid w:val="000C3BAB"/>
    <w:rsid w:val="000C46E8"/>
    <w:rsid w:val="000C5EF7"/>
    <w:rsid w:val="000C6583"/>
    <w:rsid w:val="000D1F17"/>
    <w:rsid w:val="000D2285"/>
    <w:rsid w:val="000D232C"/>
    <w:rsid w:val="000D37B9"/>
    <w:rsid w:val="000E2101"/>
    <w:rsid w:val="000E3931"/>
    <w:rsid w:val="000E5EAC"/>
    <w:rsid w:val="000E5EFE"/>
    <w:rsid w:val="000F3EB0"/>
    <w:rsid w:val="000F51D8"/>
    <w:rsid w:val="000F6B1B"/>
    <w:rsid w:val="00104207"/>
    <w:rsid w:val="00106382"/>
    <w:rsid w:val="00107285"/>
    <w:rsid w:val="001073B8"/>
    <w:rsid w:val="001107EC"/>
    <w:rsid w:val="00112351"/>
    <w:rsid w:val="001223CF"/>
    <w:rsid w:val="00123E1D"/>
    <w:rsid w:val="0013239A"/>
    <w:rsid w:val="0013292B"/>
    <w:rsid w:val="00134436"/>
    <w:rsid w:val="00135776"/>
    <w:rsid w:val="001403E1"/>
    <w:rsid w:val="0014237B"/>
    <w:rsid w:val="00142B79"/>
    <w:rsid w:val="0014411E"/>
    <w:rsid w:val="00147E17"/>
    <w:rsid w:val="00156602"/>
    <w:rsid w:val="001566A0"/>
    <w:rsid w:val="001622A3"/>
    <w:rsid w:val="00164D52"/>
    <w:rsid w:val="00164D71"/>
    <w:rsid w:val="001655CC"/>
    <w:rsid w:val="00165957"/>
    <w:rsid w:val="00165F9C"/>
    <w:rsid w:val="00167CFE"/>
    <w:rsid w:val="00171D07"/>
    <w:rsid w:val="0017352D"/>
    <w:rsid w:val="00173961"/>
    <w:rsid w:val="001742E0"/>
    <w:rsid w:val="001747EB"/>
    <w:rsid w:val="001759DD"/>
    <w:rsid w:val="001863E2"/>
    <w:rsid w:val="00192F5B"/>
    <w:rsid w:val="00193E79"/>
    <w:rsid w:val="00197452"/>
    <w:rsid w:val="001A578E"/>
    <w:rsid w:val="001A5CC5"/>
    <w:rsid w:val="001A62D5"/>
    <w:rsid w:val="001A7F0B"/>
    <w:rsid w:val="001B03C0"/>
    <w:rsid w:val="001B2070"/>
    <w:rsid w:val="001B4DE2"/>
    <w:rsid w:val="001B7D35"/>
    <w:rsid w:val="001C19F2"/>
    <w:rsid w:val="001C45C5"/>
    <w:rsid w:val="001D019B"/>
    <w:rsid w:val="001D5484"/>
    <w:rsid w:val="001D5A85"/>
    <w:rsid w:val="001E1885"/>
    <w:rsid w:val="001E2D09"/>
    <w:rsid w:val="001E6F10"/>
    <w:rsid w:val="001E7EBD"/>
    <w:rsid w:val="001F102A"/>
    <w:rsid w:val="001F217B"/>
    <w:rsid w:val="001F5B01"/>
    <w:rsid w:val="00201A2A"/>
    <w:rsid w:val="00206B72"/>
    <w:rsid w:val="002106BD"/>
    <w:rsid w:val="00212C26"/>
    <w:rsid w:val="00216B43"/>
    <w:rsid w:val="00217525"/>
    <w:rsid w:val="00220253"/>
    <w:rsid w:val="00221372"/>
    <w:rsid w:val="00223D29"/>
    <w:rsid w:val="00230C5E"/>
    <w:rsid w:val="00232091"/>
    <w:rsid w:val="00234679"/>
    <w:rsid w:val="0023494C"/>
    <w:rsid w:val="00234E9B"/>
    <w:rsid w:val="00235A7C"/>
    <w:rsid w:val="00237337"/>
    <w:rsid w:val="0023764E"/>
    <w:rsid w:val="00241528"/>
    <w:rsid w:val="00241718"/>
    <w:rsid w:val="00242C51"/>
    <w:rsid w:val="00246185"/>
    <w:rsid w:val="0025271B"/>
    <w:rsid w:val="002538A5"/>
    <w:rsid w:val="002545D2"/>
    <w:rsid w:val="00254A60"/>
    <w:rsid w:val="0026161E"/>
    <w:rsid w:val="00265FA6"/>
    <w:rsid w:val="00271F64"/>
    <w:rsid w:val="00272BF2"/>
    <w:rsid w:val="00275F4E"/>
    <w:rsid w:val="00276F3D"/>
    <w:rsid w:val="00282F40"/>
    <w:rsid w:val="0028327C"/>
    <w:rsid w:val="002835B6"/>
    <w:rsid w:val="00285B5A"/>
    <w:rsid w:val="002A1F2C"/>
    <w:rsid w:val="002A2ACC"/>
    <w:rsid w:val="002A55B7"/>
    <w:rsid w:val="002C42D5"/>
    <w:rsid w:val="002C7DB0"/>
    <w:rsid w:val="002D00E4"/>
    <w:rsid w:val="002D0C5E"/>
    <w:rsid w:val="002D2AD8"/>
    <w:rsid w:val="002D353A"/>
    <w:rsid w:val="002D4398"/>
    <w:rsid w:val="002D501C"/>
    <w:rsid w:val="002D7635"/>
    <w:rsid w:val="002E02FD"/>
    <w:rsid w:val="002E4BB8"/>
    <w:rsid w:val="002E75E7"/>
    <w:rsid w:val="002F72FB"/>
    <w:rsid w:val="00304BC2"/>
    <w:rsid w:val="0030632A"/>
    <w:rsid w:val="003079CD"/>
    <w:rsid w:val="00307B33"/>
    <w:rsid w:val="00313E65"/>
    <w:rsid w:val="00315B18"/>
    <w:rsid w:val="0031607D"/>
    <w:rsid w:val="003255E3"/>
    <w:rsid w:val="00327BEE"/>
    <w:rsid w:val="0033486E"/>
    <w:rsid w:val="00340C51"/>
    <w:rsid w:val="00341756"/>
    <w:rsid w:val="00342D6E"/>
    <w:rsid w:val="00346274"/>
    <w:rsid w:val="00350309"/>
    <w:rsid w:val="003506BC"/>
    <w:rsid w:val="003516E7"/>
    <w:rsid w:val="003541F1"/>
    <w:rsid w:val="00360AFB"/>
    <w:rsid w:val="00360D2C"/>
    <w:rsid w:val="00362E7B"/>
    <w:rsid w:val="003637AE"/>
    <w:rsid w:val="003644CE"/>
    <w:rsid w:val="003726BF"/>
    <w:rsid w:val="00375FD0"/>
    <w:rsid w:val="00376509"/>
    <w:rsid w:val="003769A1"/>
    <w:rsid w:val="0037711D"/>
    <w:rsid w:val="0037789A"/>
    <w:rsid w:val="0038005F"/>
    <w:rsid w:val="0038139C"/>
    <w:rsid w:val="0038429E"/>
    <w:rsid w:val="00384767"/>
    <w:rsid w:val="003910E3"/>
    <w:rsid w:val="00392500"/>
    <w:rsid w:val="003929EF"/>
    <w:rsid w:val="00394297"/>
    <w:rsid w:val="003954EB"/>
    <w:rsid w:val="00395867"/>
    <w:rsid w:val="00395C83"/>
    <w:rsid w:val="00396F1C"/>
    <w:rsid w:val="003977F0"/>
    <w:rsid w:val="003A05E5"/>
    <w:rsid w:val="003A24D9"/>
    <w:rsid w:val="003A79DD"/>
    <w:rsid w:val="003A7B8E"/>
    <w:rsid w:val="003B1B01"/>
    <w:rsid w:val="003B5FB3"/>
    <w:rsid w:val="003B6500"/>
    <w:rsid w:val="003C4307"/>
    <w:rsid w:val="003C588C"/>
    <w:rsid w:val="003C5EBE"/>
    <w:rsid w:val="003C7B0A"/>
    <w:rsid w:val="003D077A"/>
    <w:rsid w:val="003D0B3C"/>
    <w:rsid w:val="003D50A8"/>
    <w:rsid w:val="003D6127"/>
    <w:rsid w:val="00402724"/>
    <w:rsid w:val="00403647"/>
    <w:rsid w:val="004039F6"/>
    <w:rsid w:val="00407E55"/>
    <w:rsid w:val="00410A1C"/>
    <w:rsid w:val="00412115"/>
    <w:rsid w:val="004121F2"/>
    <w:rsid w:val="00414250"/>
    <w:rsid w:val="00417F24"/>
    <w:rsid w:val="00424162"/>
    <w:rsid w:val="004242E5"/>
    <w:rsid w:val="00432CD9"/>
    <w:rsid w:val="00432D9E"/>
    <w:rsid w:val="00442E3E"/>
    <w:rsid w:val="004505BC"/>
    <w:rsid w:val="00456275"/>
    <w:rsid w:val="00456449"/>
    <w:rsid w:val="00456A55"/>
    <w:rsid w:val="00457C1D"/>
    <w:rsid w:val="00457CC1"/>
    <w:rsid w:val="00460C89"/>
    <w:rsid w:val="00463A9D"/>
    <w:rsid w:val="004651B8"/>
    <w:rsid w:val="00470225"/>
    <w:rsid w:val="00472677"/>
    <w:rsid w:val="0048193E"/>
    <w:rsid w:val="00482856"/>
    <w:rsid w:val="004877E6"/>
    <w:rsid w:val="00491C2F"/>
    <w:rsid w:val="00493FEC"/>
    <w:rsid w:val="00494420"/>
    <w:rsid w:val="004A1B1C"/>
    <w:rsid w:val="004A22EB"/>
    <w:rsid w:val="004A2390"/>
    <w:rsid w:val="004A32F5"/>
    <w:rsid w:val="004A3375"/>
    <w:rsid w:val="004A3E7D"/>
    <w:rsid w:val="004A43EC"/>
    <w:rsid w:val="004A445F"/>
    <w:rsid w:val="004A5B2A"/>
    <w:rsid w:val="004A7B06"/>
    <w:rsid w:val="004B0CAE"/>
    <w:rsid w:val="004B28CB"/>
    <w:rsid w:val="004F117C"/>
    <w:rsid w:val="004F27FC"/>
    <w:rsid w:val="004F5B09"/>
    <w:rsid w:val="004F6531"/>
    <w:rsid w:val="004F7BF5"/>
    <w:rsid w:val="00501185"/>
    <w:rsid w:val="00504E38"/>
    <w:rsid w:val="00510079"/>
    <w:rsid w:val="00511C0E"/>
    <w:rsid w:val="00514A2E"/>
    <w:rsid w:val="0051766E"/>
    <w:rsid w:val="005176CD"/>
    <w:rsid w:val="00517E58"/>
    <w:rsid w:val="00520278"/>
    <w:rsid w:val="005203A5"/>
    <w:rsid w:val="00524B23"/>
    <w:rsid w:val="00534EEF"/>
    <w:rsid w:val="00535820"/>
    <w:rsid w:val="0053741B"/>
    <w:rsid w:val="00552DFC"/>
    <w:rsid w:val="005572BB"/>
    <w:rsid w:val="00561939"/>
    <w:rsid w:val="00567110"/>
    <w:rsid w:val="00580132"/>
    <w:rsid w:val="00580166"/>
    <w:rsid w:val="00583E98"/>
    <w:rsid w:val="0058765B"/>
    <w:rsid w:val="005972C2"/>
    <w:rsid w:val="005A235E"/>
    <w:rsid w:val="005A43ED"/>
    <w:rsid w:val="005A702B"/>
    <w:rsid w:val="005B0840"/>
    <w:rsid w:val="005B0D00"/>
    <w:rsid w:val="005B0FF1"/>
    <w:rsid w:val="005B2667"/>
    <w:rsid w:val="005B7426"/>
    <w:rsid w:val="005C1857"/>
    <w:rsid w:val="005C3D76"/>
    <w:rsid w:val="005C5170"/>
    <w:rsid w:val="005C52FB"/>
    <w:rsid w:val="005C641F"/>
    <w:rsid w:val="005D2C22"/>
    <w:rsid w:val="005D6B41"/>
    <w:rsid w:val="005D7D00"/>
    <w:rsid w:val="005E2175"/>
    <w:rsid w:val="005E388C"/>
    <w:rsid w:val="005E3CD1"/>
    <w:rsid w:val="005E5521"/>
    <w:rsid w:val="005E5E6A"/>
    <w:rsid w:val="005E73E4"/>
    <w:rsid w:val="005F1A1D"/>
    <w:rsid w:val="005F360E"/>
    <w:rsid w:val="005F4318"/>
    <w:rsid w:val="005F5E05"/>
    <w:rsid w:val="005F6E1A"/>
    <w:rsid w:val="00617685"/>
    <w:rsid w:val="00620C74"/>
    <w:rsid w:val="00625736"/>
    <w:rsid w:val="00627EE9"/>
    <w:rsid w:val="0063090E"/>
    <w:rsid w:val="00631CAC"/>
    <w:rsid w:val="00632128"/>
    <w:rsid w:val="006338FE"/>
    <w:rsid w:val="00635E76"/>
    <w:rsid w:val="00636075"/>
    <w:rsid w:val="00636219"/>
    <w:rsid w:val="00641C42"/>
    <w:rsid w:val="00641DEC"/>
    <w:rsid w:val="00643371"/>
    <w:rsid w:val="00644B05"/>
    <w:rsid w:val="00645495"/>
    <w:rsid w:val="00646C85"/>
    <w:rsid w:val="00651EDC"/>
    <w:rsid w:val="006529BE"/>
    <w:rsid w:val="00665DA1"/>
    <w:rsid w:val="00667CF3"/>
    <w:rsid w:val="00671B4A"/>
    <w:rsid w:val="0068014C"/>
    <w:rsid w:val="00680713"/>
    <w:rsid w:val="00683567"/>
    <w:rsid w:val="00691991"/>
    <w:rsid w:val="00691BE1"/>
    <w:rsid w:val="006A0CE1"/>
    <w:rsid w:val="006A5FCE"/>
    <w:rsid w:val="006B688C"/>
    <w:rsid w:val="006C2848"/>
    <w:rsid w:val="006C3E1C"/>
    <w:rsid w:val="006C42D9"/>
    <w:rsid w:val="006C4B67"/>
    <w:rsid w:val="006C510B"/>
    <w:rsid w:val="006C6DDD"/>
    <w:rsid w:val="006D237E"/>
    <w:rsid w:val="006D4B43"/>
    <w:rsid w:val="006D55C5"/>
    <w:rsid w:val="006D57A2"/>
    <w:rsid w:val="006E042E"/>
    <w:rsid w:val="006E63FD"/>
    <w:rsid w:val="006E75B3"/>
    <w:rsid w:val="006F098B"/>
    <w:rsid w:val="006F1284"/>
    <w:rsid w:val="006F2A52"/>
    <w:rsid w:val="006F3A4F"/>
    <w:rsid w:val="006F78FA"/>
    <w:rsid w:val="00701213"/>
    <w:rsid w:val="00706831"/>
    <w:rsid w:val="00715B7E"/>
    <w:rsid w:val="00715FAF"/>
    <w:rsid w:val="007166FC"/>
    <w:rsid w:val="007168B6"/>
    <w:rsid w:val="007211CB"/>
    <w:rsid w:val="0072432F"/>
    <w:rsid w:val="00730673"/>
    <w:rsid w:val="007317FE"/>
    <w:rsid w:val="007332F6"/>
    <w:rsid w:val="00734A62"/>
    <w:rsid w:val="00737A8A"/>
    <w:rsid w:val="007415F3"/>
    <w:rsid w:val="00745BBA"/>
    <w:rsid w:val="00745BFA"/>
    <w:rsid w:val="00746627"/>
    <w:rsid w:val="0075314F"/>
    <w:rsid w:val="00757768"/>
    <w:rsid w:val="007579BC"/>
    <w:rsid w:val="00763BB8"/>
    <w:rsid w:val="007651C2"/>
    <w:rsid w:val="00766597"/>
    <w:rsid w:val="007674C3"/>
    <w:rsid w:val="00773FE6"/>
    <w:rsid w:val="00774300"/>
    <w:rsid w:val="0077508D"/>
    <w:rsid w:val="00776E32"/>
    <w:rsid w:val="007773B7"/>
    <w:rsid w:val="007800E5"/>
    <w:rsid w:val="00780A63"/>
    <w:rsid w:val="00785519"/>
    <w:rsid w:val="00785778"/>
    <w:rsid w:val="007862C3"/>
    <w:rsid w:val="0078635A"/>
    <w:rsid w:val="00797ABB"/>
    <w:rsid w:val="007A194E"/>
    <w:rsid w:val="007A1D63"/>
    <w:rsid w:val="007A37AF"/>
    <w:rsid w:val="007B2874"/>
    <w:rsid w:val="007B3F3E"/>
    <w:rsid w:val="007B4209"/>
    <w:rsid w:val="007B5F7B"/>
    <w:rsid w:val="007B6C78"/>
    <w:rsid w:val="007C5141"/>
    <w:rsid w:val="007C77A0"/>
    <w:rsid w:val="007D23AB"/>
    <w:rsid w:val="007D51F2"/>
    <w:rsid w:val="007D574D"/>
    <w:rsid w:val="007E0E38"/>
    <w:rsid w:val="007E365B"/>
    <w:rsid w:val="007E4887"/>
    <w:rsid w:val="007F47EF"/>
    <w:rsid w:val="007F79DA"/>
    <w:rsid w:val="008001D4"/>
    <w:rsid w:val="00800DC2"/>
    <w:rsid w:val="008020B5"/>
    <w:rsid w:val="00802583"/>
    <w:rsid w:val="008041ED"/>
    <w:rsid w:val="00804639"/>
    <w:rsid w:val="00807070"/>
    <w:rsid w:val="008076A9"/>
    <w:rsid w:val="0081224C"/>
    <w:rsid w:val="00812C07"/>
    <w:rsid w:val="0081627D"/>
    <w:rsid w:val="00816557"/>
    <w:rsid w:val="008249BB"/>
    <w:rsid w:val="008264D2"/>
    <w:rsid w:val="008310FC"/>
    <w:rsid w:val="00833290"/>
    <w:rsid w:val="0083537A"/>
    <w:rsid w:val="008353DB"/>
    <w:rsid w:val="00836314"/>
    <w:rsid w:val="00836C85"/>
    <w:rsid w:val="00837839"/>
    <w:rsid w:val="00840615"/>
    <w:rsid w:val="00840D15"/>
    <w:rsid w:val="008423D3"/>
    <w:rsid w:val="00847B36"/>
    <w:rsid w:val="00851EA7"/>
    <w:rsid w:val="00855C8B"/>
    <w:rsid w:val="00860B90"/>
    <w:rsid w:val="00862A96"/>
    <w:rsid w:val="008655F3"/>
    <w:rsid w:val="00866B78"/>
    <w:rsid w:val="00867503"/>
    <w:rsid w:val="00875FC6"/>
    <w:rsid w:val="00876070"/>
    <w:rsid w:val="0088224F"/>
    <w:rsid w:val="008844D1"/>
    <w:rsid w:val="00890BF6"/>
    <w:rsid w:val="0089341F"/>
    <w:rsid w:val="008A0D5E"/>
    <w:rsid w:val="008A17FF"/>
    <w:rsid w:val="008A1B70"/>
    <w:rsid w:val="008A5017"/>
    <w:rsid w:val="008A62F5"/>
    <w:rsid w:val="008A6317"/>
    <w:rsid w:val="008C32AC"/>
    <w:rsid w:val="008C46BF"/>
    <w:rsid w:val="008C5715"/>
    <w:rsid w:val="008C743E"/>
    <w:rsid w:val="008D5188"/>
    <w:rsid w:val="008D6629"/>
    <w:rsid w:val="008D7956"/>
    <w:rsid w:val="008E4262"/>
    <w:rsid w:val="008F0B52"/>
    <w:rsid w:val="00901779"/>
    <w:rsid w:val="009042B2"/>
    <w:rsid w:val="009135B4"/>
    <w:rsid w:val="00917A8E"/>
    <w:rsid w:val="00925873"/>
    <w:rsid w:val="00930229"/>
    <w:rsid w:val="009304F1"/>
    <w:rsid w:val="0093058D"/>
    <w:rsid w:val="00931171"/>
    <w:rsid w:val="009337A9"/>
    <w:rsid w:val="00935DE6"/>
    <w:rsid w:val="00937709"/>
    <w:rsid w:val="00942B80"/>
    <w:rsid w:val="00942C2F"/>
    <w:rsid w:val="00942FFF"/>
    <w:rsid w:val="00943E15"/>
    <w:rsid w:val="00944DC4"/>
    <w:rsid w:val="00946ADF"/>
    <w:rsid w:val="00951174"/>
    <w:rsid w:val="00970DE8"/>
    <w:rsid w:val="0097172F"/>
    <w:rsid w:val="00973524"/>
    <w:rsid w:val="009749EE"/>
    <w:rsid w:val="009764F2"/>
    <w:rsid w:val="0098243D"/>
    <w:rsid w:val="00985D0F"/>
    <w:rsid w:val="009908A4"/>
    <w:rsid w:val="00990C8A"/>
    <w:rsid w:val="009948F8"/>
    <w:rsid w:val="009A27E6"/>
    <w:rsid w:val="009A292B"/>
    <w:rsid w:val="009A3188"/>
    <w:rsid w:val="009A6165"/>
    <w:rsid w:val="009B05D8"/>
    <w:rsid w:val="009B27E8"/>
    <w:rsid w:val="009B312C"/>
    <w:rsid w:val="009B59E0"/>
    <w:rsid w:val="009B76A0"/>
    <w:rsid w:val="009B774A"/>
    <w:rsid w:val="009C175C"/>
    <w:rsid w:val="009D323E"/>
    <w:rsid w:val="009D381F"/>
    <w:rsid w:val="009D418E"/>
    <w:rsid w:val="009D4901"/>
    <w:rsid w:val="009D603F"/>
    <w:rsid w:val="009E09FC"/>
    <w:rsid w:val="009E38A8"/>
    <w:rsid w:val="009E7A05"/>
    <w:rsid w:val="009F714D"/>
    <w:rsid w:val="009F7891"/>
    <w:rsid w:val="00A0010F"/>
    <w:rsid w:val="00A015AD"/>
    <w:rsid w:val="00A018C1"/>
    <w:rsid w:val="00A02628"/>
    <w:rsid w:val="00A03956"/>
    <w:rsid w:val="00A07B92"/>
    <w:rsid w:val="00A10DB8"/>
    <w:rsid w:val="00A12468"/>
    <w:rsid w:val="00A15C42"/>
    <w:rsid w:val="00A168EA"/>
    <w:rsid w:val="00A22897"/>
    <w:rsid w:val="00A24619"/>
    <w:rsid w:val="00A25673"/>
    <w:rsid w:val="00A326B1"/>
    <w:rsid w:val="00A34100"/>
    <w:rsid w:val="00A363A3"/>
    <w:rsid w:val="00A402EA"/>
    <w:rsid w:val="00A426A3"/>
    <w:rsid w:val="00A42D15"/>
    <w:rsid w:val="00A431D5"/>
    <w:rsid w:val="00A433EC"/>
    <w:rsid w:val="00A44A5E"/>
    <w:rsid w:val="00A501A6"/>
    <w:rsid w:val="00A50C61"/>
    <w:rsid w:val="00A51489"/>
    <w:rsid w:val="00A52E95"/>
    <w:rsid w:val="00A533FC"/>
    <w:rsid w:val="00A53FF4"/>
    <w:rsid w:val="00A62923"/>
    <w:rsid w:val="00A63686"/>
    <w:rsid w:val="00A63B0F"/>
    <w:rsid w:val="00A7089F"/>
    <w:rsid w:val="00A70C5F"/>
    <w:rsid w:val="00A768EB"/>
    <w:rsid w:val="00A90156"/>
    <w:rsid w:val="00A904F1"/>
    <w:rsid w:val="00A91989"/>
    <w:rsid w:val="00A91C12"/>
    <w:rsid w:val="00A925F5"/>
    <w:rsid w:val="00A93C0D"/>
    <w:rsid w:val="00A94B12"/>
    <w:rsid w:val="00A96300"/>
    <w:rsid w:val="00AA1688"/>
    <w:rsid w:val="00AA4279"/>
    <w:rsid w:val="00AA7527"/>
    <w:rsid w:val="00AB4E48"/>
    <w:rsid w:val="00AB5E83"/>
    <w:rsid w:val="00AB74BE"/>
    <w:rsid w:val="00AD2A1F"/>
    <w:rsid w:val="00AD4AA4"/>
    <w:rsid w:val="00AD58DD"/>
    <w:rsid w:val="00AD6C07"/>
    <w:rsid w:val="00AE799A"/>
    <w:rsid w:val="00B03E57"/>
    <w:rsid w:val="00B0786D"/>
    <w:rsid w:val="00B113DC"/>
    <w:rsid w:val="00B11EE9"/>
    <w:rsid w:val="00B12BD0"/>
    <w:rsid w:val="00B17FBB"/>
    <w:rsid w:val="00B22992"/>
    <w:rsid w:val="00B236BF"/>
    <w:rsid w:val="00B2513E"/>
    <w:rsid w:val="00B26081"/>
    <w:rsid w:val="00B27964"/>
    <w:rsid w:val="00B34D34"/>
    <w:rsid w:val="00B350A9"/>
    <w:rsid w:val="00B362DD"/>
    <w:rsid w:val="00B36811"/>
    <w:rsid w:val="00B37CC3"/>
    <w:rsid w:val="00B4215D"/>
    <w:rsid w:val="00B4343A"/>
    <w:rsid w:val="00B55091"/>
    <w:rsid w:val="00B553A9"/>
    <w:rsid w:val="00B62DB3"/>
    <w:rsid w:val="00B64FE1"/>
    <w:rsid w:val="00B7429A"/>
    <w:rsid w:val="00B7481D"/>
    <w:rsid w:val="00B76AB5"/>
    <w:rsid w:val="00B77B47"/>
    <w:rsid w:val="00B77D38"/>
    <w:rsid w:val="00B82A5D"/>
    <w:rsid w:val="00B90740"/>
    <w:rsid w:val="00B93832"/>
    <w:rsid w:val="00BA1E76"/>
    <w:rsid w:val="00BA67EA"/>
    <w:rsid w:val="00BB3186"/>
    <w:rsid w:val="00BB61B6"/>
    <w:rsid w:val="00BC0DBA"/>
    <w:rsid w:val="00BC0EDE"/>
    <w:rsid w:val="00BC222E"/>
    <w:rsid w:val="00BC4E07"/>
    <w:rsid w:val="00BC5A48"/>
    <w:rsid w:val="00BC5C44"/>
    <w:rsid w:val="00BD2D77"/>
    <w:rsid w:val="00BE4710"/>
    <w:rsid w:val="00BE5093"/>
    <w:rsid w:val="00BE54D3"/>
    <w:rsid w:val="00BE5F9D"/>
    <w:rsid w:val="00BF104D"/>
    <w:rsid w:val="00BF20E3"/>
    <w:rsid w:val="00BF2C2D"/>
    <w:rsid w:val="00BF2D61"/>
    <w:rsid w:val="00BF2E8E"/>
    <w:rsid w:val="00BF74FF"/>
    <w:rsid w:val="00C02923"/>
    <w:rsid w:val="00C04350"/>
    <w:rsid w:val="00C11613"/>
    <w:rsid w:val="00C15B55"/>
    <w:rsid w:val="00C17689"/>
    <w:rsid w:val="00C215C0"/>
    <w:rsid w:val="00C2420E"/>
    <w:rsid w:val="00C2531A"/>
    <w:rsid w:val="00C27041"/>
    <w:rsid w:val="00C27C12"/>
    <w:rsid w:val="00C33636"/>
    <w:rsid w:val="00C36EF8"/>
    <w:rsid w:val="00C37AEF"/>
    <w:rsid w:val="00C4053A"/>
    <w:rsid w:val="00C452D9"/>
    <w:rsid w:val="00C476C3"/>
    <w:rsid w:val="00C47974"/>
    <w:rsid w:val="00C579B7"/>
    <w:rsid w:val="00C6380E"/>
    <w:rsid w:val="00C679C6"/>
    <w:rsid w:val="00C713F5"/>
    <w:rsid w:val="00C75ACF"/>
    <w:rsid w:val="00C8074B"/>
    <w:rsid w:val="00C828B5"/>
    <w:rsid w:val="00C843C5"/>
    <w:rsid w:val="00C91144"/>
    <w:rsid w:val="00C91B98"/>
    <w:rsid w:val="00C941A7"/>
    <w:rsid w:val="00CA11F3"/>
    <w:rsid w:val="00CA320D"/>
    <w:rsid w:val="00CA36D3"/>
    <w:rsid w:val="00CA5B45"/>
    <w:rsid w:val="00CB0D1F"/>
    <w:rsid w:val="00CB0DF0"/>
    <w:rsid w:val="00CB3764"/>
    <w:rsid w:val="00CC296F"/>
    <w:rsid w:val="00CC7778"/>
    <w:rsid w:val="00CD2503"/>
    <w:rsid w:val="00CD4002"/>
    <w:rsid w:val="00CE2491"/>
    <w:rsid w:val="00CE3266"/>
    <w:rsid w:val="00CE3F1E"/>
    <w:rsid w:val="00CE61DD"/>
    <w:rsid w:val="00CF0150"/>
    <w:rsid w:val="00CF4B6B"/>
    <w:rsid w:val="00CF678A"/>
    <w:rsid w:val="00D0336B"/>
    <w:rsid w:val="00D04172"/>
    <w:rsid w:val="00D05CCB"/>
    <w:rsid w:val="00D07017"/>
    <w:rsid w:val="00D075CD"/>
    <w:rsid w:val="00D110D0"/>
    <w:rsid w:val="00D17B82"/>
    <w:rsid w:val="00D2253F"/>
    <w:rsid w:val="00D23579"/>
    <w:rsid w:val="00D27533"/>
    <w:rsid w:val="00D33B99"/>
    <w:rsid w:val="00D432E1"/>
    <w:rsid w:val="00D43A08"/>
    <w:rsid w:val="00D46638"/>
    <w:rsid w:val="00D4674C"/>
    <w:rsid w:val="00D46969"/>
    <w:rsid w:val="00D50AC7"/>
    <w:rsid w:val="00D5202A"/>
    <w:rsid w:val="00D52C3D"/>
    <w:rsid w:val="00D55F61"/>
    <w:rsid w:val="00D5727F"/>
    <w:rsid w:val="00D60E14"/>
    <w:rsid w:val="00D62217"/>
    <w:rsid w:val="00D67F25"/>
    <w:rsid w:val="00D77DDD"/>
    <w:rsid w:val="00D8067E"/>
    <w:rsid w:val="00D825ED"/>
    <w:rsid w:val="00D85E48"/>
    <w:rsid w:val="00D87957"/>
    <w:rsid w:val="00D90FBD"/>
    <w:rsid w:val="00D93443"/>
    <w:rsid w:val="00D969CA"/>
    <w:rsid w:val="00DA2488"/>
    <w:rsid w:val="00DA5C21"/>
    <w:rsid w:val="00DA6501"/>
    <w:rsid w:val="00DB43EB"/>
    <w:rsid w:val="00DB6288"/>
    <w:rsid w:val="00DC17AF"/>
    <w:rsid w:val="00DC397A"/>
    <w:rsid w:val="00DC4D70"/>
    <w:rsid w:val="00DD02F8"/>
    <w:rsid w:val="00DD421A"/>
    <w:rsid w:val="00DD496D"/>
    <w:rsid w:val="00DE021E"/>
    <w:rsid w:val="00DE1D17"/>
    <w:rsid w:val="00DE24C3"/>
    <w:rsid w:val="00DE37AF"/>
    <w:rsid w:val="00DF29E9"/>
    <w:rsid w:val="00DF2CF7"/>
    <w:rsid w:val="00DF2D84"/>
    <w:rsid w:val="00DF3E6E"/>
    <w:rsid w:val="00DF437D"/>
    <w:rsid w:val="00DF5CCC"/>
    <w:rsid w:val="00E00D25"/>
    <w:rsid w:val="00E0672C"/>
    <w:rsid w:val="00E10B6D"/>
    <w:rsid w:val="00E11C77"/>
    <w:rsid w:val="00E12031"/>
    <w:rsid w:val="00E126F7"/>
    <w:rsid w:val="00E21785"/>
    <w:rsid w:val="00E24393"/>
    <w:rsid w:val="00E26A52"/>
    <w:rsid w:val="00E276CE"/>
    <w:rsid w:val="00E34003"/>
    <w:rsid w:val="00E40941"/>
    <w:rsid w:val="00E421E1"/>
    <w:rsid w:val="00E44ED9"/>
    <w:rsid w:val="00E463B8"/>
    <w:rsid w:val="00E47D6A"/>
    <w:rsid w:val="00E511ED"/>
    <w:rsid w:val="00E51933"/>
    <w:rsid w:val="00E51E15"/>
    <w:rsid w:val="00E52B6D"/>
    <w:rsid w:val="00E52BEF"/>
    <w:rsid w:val="00E53599"/>
    <w:rsid w:val="00E539B0"/>
    <w:rsid w:val="00E541C9"/>
    <w:rsid w:val="00E55E26"/>
    <w:rsid w:val="00E57A9D"/>
    <w:rsid w:val="00E70CC3"/>
    <w:rsid w:val="00E72ECE"/>
    <w:rsid w:val="00E730B1"/>
    <w:rsid w:val="00E77A53"/>
    <w:rsid w:val="00E77BB2"/>
    <w:rsid w:val="00E804A8"/>
    <w:rsid w:val="00E820E6"/>
    <w:rsid w:val="00E82E0A"/>
    <w:rsid w:val="00E85F2C"/>
    <w:rsid w:val="00E92903"/>
    <w:rsid w:val="00E93166"/>
    <w:rsid w:val="00E94916"/>
    <w:rsid w:val="00E97A5F"/>
    <w:rsid w:val="00EA0C02"/>
    <w:rsid w:val="00EA295C"/>
    <w:rsid w:val="00EA2C63"/>
    <w:rsid w:val="00EA67EF"/>
    <w:rsid w:val="00EB226E"/>
    <w:rsid w:val="00EB3140"/>
    <w:rsid w:val="00EB49E9"/>
    <w:rsid w:val="00EB4CAC"/>
    <w:rsid w:val="00EC7A45"/>
    <w:rsid w:val="00ED506D"/>
    <w:rsid w:val="00ED68C2"/>
    <w:rsid w:val="00ED6CD8"/>
    <w:rsid w:val="00EE2403"/>
    <w:rsid w:val="00EE744E"/>
    <w:rsid w:val="00F03F3B"/>
    <w:rsid w:val="00F04BBB"/>
    <w:rsid w:val="00F105E1"/>
    <w:rsid w:val="00F1374F"/>
    <w:rsid w:val="00F149E1"/>
    <w:rsid w:val="00F1526E"/>
    <w:rsid w:val="00F16670"/>
    <w:rsid w:val="00F216DE"/>
    <w:rsid w:val="00F2179A"/>
    <w:rsid w:val="00F223AF"/>
    <w:rsid w:val="00F24C97"/>
    <w:rsid w:val="00F265E4"/>
    <w:rsid w:val="00F32778"/>
    <w:rsid w:val="00F33158"/>
    <w:rsid w:val="00F359BB"/>
    <w:rsid w:val="00F41A3F"/>
    <w:rsid w:val="00F45749"/>
    <w:rsid w:val="00F46124"/>
    <w:rsid w:val="00F50174"/>
    <w:rsid w:val="00F50FF8"/>
    <w:rsid w:val="00F51D6E"/>
    <w:rsid w:val="00F52847"/>
    <w:rsid w:val="00F65FED"/>
    <w:rsid w:val="00F7022B"/>
    <w:rsid w:val="00F741A5"/>
    <w:rsid w:val="00F748E6"/>
    <w:rsid w:val="00F74EDB"/>
    <w:rsid w:val="00F80EFD"/>
    <w:rsid w:val="00F81CED"/>
    <w:rsid w:val="00F82D23"/>
    <w:rsid w:val="00F87BD9"/>
    <w:rsid w:val="00F90659"/>
    <w:rsid w:val="00F91CA4"/>
    <w:rsid w:val="00F942BE"/>
    <w:rsid w:val="00F97E89"/>
    <w:rsid w:val="00FA0599"/>
    <w:rsid w:val="00FA42C1"/>
    <w:rsid w:val="00FA5C3E"/>
    <w:rsid w:val="00FB23F4"/>
    <w:rsid w:val="00FB64CF"/>
    <w:rsid w:val="00FC11F2"/>
    <w:rsid w:val="00FC2A6F"/>
    <w:rsid w:val="00FC60F2"/>
    <w:rsid w:val="00FC63CE"/>
    <w:rsid w:val="00FD162F"/>
    <w:rsid w:val="00FD6F4B"/>
    <w:rsid w:val="00FE04CF"/>
    <w:rsid w:val="00FE0CDA"/>
    <w:rsid w:val="00FF13FB"/>
    <w:rsid w:val="00FF434B"/>
    <w:rsid w:val="00FF4AF1"/>
    <w:rsid w:val="00FF6BEB"/>
    <w:rsid w:val="024CEF4A"/>
    <w:rsid w:val="02932B94"/>
    <w:rsid w:val="055E755E"/>
    <w:rsid w:val="08F4E9C0"/>
    <w:rsid w:val="12037CA7"/>
    <w:rsid w:val="126F6E89"/>
    <w:rsid w:val="1406D0FB"/>
    <w:rsid w:val="143A7AF3"/>
    <w:rsid w:val="1CC5B44B"/>
    <w:rsid w:val="1CD95DD1"/>
    <w:rsid w:val="201B26FB"/>
    <w:rsid w:val="2776A38E"/>
    <w:rsid w:val="2ECD841D"/>
    <w:rsid w:val="32C33759"/>
    <w:rsid w:val="38739C1A"/>
    <w:rsid w:val="397700F7"/>
    <w:rsid w:val="3C1BD904"/>
    <w:rsid w:val="40098177"/>
    <w:rsid w:val="46B5D7F7"/>
    <w:rsid w:val="46B86050"/>
    <w:rsid w:val="4771E524"/>
    <w:rsid w:val="4F17FE56"/>
    <w:rsid w:val="4FC3251F"/>
    <w:rsid w:val="5226E9E1"/>
    <w:rsid w:val="532C6A24"/>
    <w:rsid w:val="5366615E"/>
    <w:rsid w:val="55AE490F"/>
    <w:rsid w:val="57C617A8"/>
    <w:rsid w:val="5C7D274B"/>
    <w:rsid w:val="5D4666D7"/>
    <w:rsid w:val="5F41158C"/>
    <w:rsid w:val="62E1DD80"/>
    <w:rsid w:val="64E2D404"/>
    <w:rsid w:val="66BEC2DA"/>
    <w:rsid w:val="66D420C0"/>
    <w:rsid w:val="68654997"/>
    <w:rsid w:val="6AECEF65"/>
    <w:rsid w:val="6B267F1D"/>
    <w:rsid w:val="6F0902E9"/>
    <w:rsid w:val="6FA0ED88"/>
    <w:rsid w:val="752FC0AE"/>
    <w:rsid w:val="7817A85A"/>
    <w:rsid w:val="794F24C4"/>
    <w:rsid w:val="796F3054"/>
    <w:rsid w:val="7D9EE9E5"/>
    <w:rsid w:val="7E43DE7A"/>
    <w:rsid w:val="7EEADA83"/>
    <w:rsid w:val="7F8380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B85F6"/>
  <w15:chartTrackingRefBased/>
  <w15:docId w15:val="{8BDC5166-8FBE-458C-B866-0218C31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5CC"/>
    <w:rPr>
      <w:rFonts w:ascii="Arial" w:hAnsi="Arial"/>
      <w:sz w:val="28"/>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uiPriority w:val="9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paragraph" w:styleId="Heading7">
    <w:name w:val="heading 7"/>
    <w:basedOn w:val="Normal"/>
    <w:next w:val="Normal"/>
    <w:link w:val="Heading7Char"/>
    <w:semiHidden/>
    <w:unhideWhenUsed/>
    <w:qFormat/>
    <w:rsid w:val="001655CC"/>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655C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655C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7Char">
    <w:name w:val="Heading 7 Char"/>
    <w:basedOn w:val="DefaultParagraphFont"/>
    <w:link w:val="Heading7"/>
    <w:semiHidden/>
    <w:rsid w:val="001655CC"/>
    <w:rPr>
      <w:rFonts w:asciiTheme="majorHAnsi" w:eastAsiaTheme="majorEastAsia" w:hAnsiTheme="majorHAnsi" w:cstheme="majorBidi"/>
      <w:i/>
      <w:iCs/>
      <w:color w:val="243F60" w:themeColor="accent1" w:themeShade="7F"/>
      <w:sz w:val="28"/>
      <w:lang w:eastAsia="en-US"/>
    </w:rPr>
  </w:style>
  <w:style w:type="character" w:customStyle="1" w:styleId="Heading8Char">
    <w:name w:val="Heading 8 Char"/>
    <w:basedOn w:val="DefaultParagraphFont"/>
    <w:link w:val="Heading8"/>
    <w:semiHidden/>
    <w:rsid w:val="001655C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1655CC"/>
    <w:rPr>
      <w:rFonts w:asciiTheme="majorHAnsi" w:eastAsiaTheme="majorEastAsia" w:hAnsiTheme="majorHAnsi" w:cstheme="majorBidi"/>
      <w:i/>
      <w:iCs/>
      <w:color w:val="272727" w:themeColor="text1" w:themeTint="D8"/>
      <w:sz w:val="21"/>
      <w:szCs w:val="21"/>
      <w:lang w:eastAsia="en-US"/>
    </w:rPr>
  </w:style>
  <w:style w:type="character" w:customStyle="1" w:styleId="Heading3Char">
    <w:name w:val="Heading 3 Char"/>
    <w:basedOn w:val="DefaultParagraphFont"/>
    <w:link w:val="Heading3"/>
    <w:rsid w:val="001655CC"/>
    <w:rPr>
      <w:rFonts w:ascii="Arial" w:hAnsi="Arial"/>
      <w:b/>
      <w:sz w:val="32"/>
    </w:rPr>
  </w:style>
  <w:style w:type="character" w:styleId="CommentReference">
    <w:name w:val="annotation reference"/>
    <w:basedOn w:val="DefaultParagraphFont"/>
    <w:uiPriority w:val="99"/>
    <w:semiHidden/>
    <w:unhideWhenUsed/>
    <w:rsid w:val="001655CC"/>
    <w:rPr>
      <w:sz w:val="16"/>
      <w:szCs w:val="16"/>
    </w:rPr>
  </w:style>
  <w:style w:type="paragraph" w:styleId="CommentText">
    <w:name w:val="annotation text"/>
    <w:basedOn w:val="Normal"/>
    <w:link w:val="CommentTextChar"/>
    <w:uiPriority w:val="99"/>
    <w:unhideWhenUsed/>
    <w:rsid w:val="001655CC"/>
    <w:rPr>
      <w:sz w:val="20"/>
    </w:rPr>
  </w:style>
  <w:style w:type="character" w:customStyle="1" w:styleId="CommentTextChar">
    <w:name w:val="Comment Text Char"/>
    <w:basedOn w:val="DefaultParagraphFont"/>
    <w:link w:val="CommentText"/>
    <w:uiPriority w:val="99"/>
    <w:rsid w:val="001655CC"/>
    <w:rPr>
      <w:rFonts w:ascii="Arial" w:hAnsi="Arial"/>
      <w:lang w:eastAsia="en-US"/>
    </w:rPr>
  </w:style>
  <w:style w:type="table" w:styleId="TableGrid">
    <w:name w:val="Table Grid"/>
    <w:basedOn w:val="TableNormal"/>
    <w:rsid w:val="00DE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5E7"/>
    <w:pPr>
      <w:ind w:left="720"/>
      <w:contextualSpacing/>
    </w:pPr>
  </w:style>
  <w:style w:type="paragraph" w:customStyle="1" w:styleId="paragraph">
    <w:name w:val="paragraph"/>
    <w:basedOn w:val="Normal"/>
    <w:rsid w:val="00F149E1"/>
    <w:pPr>
      <w:spacing w:before="100" w:beforeAutospacing="1" w:after="100" w:afterAutospacing="1"/>
    </w:pPr>
    <w:rPr>
      <w:rFonts w:ascii="Times New Roman" w:hAnsi="Times New Roman"/>
      <w:sz w:val="24"/>
      <w:szCs w:val="24"/>
      <w:lang w:eastAsia="en-GB"/>
    </w:rPr>
  </w:style>
  <w:style w:type="character" w:styleId="Mention">
    <w:name w:val="Mention"/>
    <w:basedOn w:val="DefaultParagraphFont"/>
    <w:uiPriority w:val="99"/>
    <w:unhideWhenUsed/>
    <w:rsid w:val="002D501C"/>
    <w:rPr>
      <w:color w:val="2B579A"/>
      <w:shd w:val="clear" w:color="auto" w:fill="E1DFDD"/>
    </w:rPr>
  </w:style>
  <w:style w:type="paragraph" w:styleId="CommentSubject">
    <w:name w:val="annotation subject"/>
    <w:basedOn w:val="CommentText"/>
    <w:next w:val="CommentText"/>
    <w:link w:val="CommentSubjectChar"/>
    <w:semiHidden/>
    <w:unhideWhenUsed/>
    <w:rsid w:val="00A34100"/>
    <w:rPr>
      <w:b/>
      <w:bCs/>
    </w:rPr>
  </w:style>
  <w:style w:type="character" w:customStyle="1" w:styleId="CommentSubjectChar">
    <w:name w:val="Comment Subject Char"/>
    <w:basedOn w:val="CommentTextChar"/>
    <w:link w:val="CommentSubject"/>
    <w:semiHidden/>
    <w:rsid w:val="00A34100"/>
    <w:rPr>
      <w:rFonts w:ascii="Arial" w:hAnsi="Arial"/>
      <w:b/>
      <w:bCs/>
      <w:lang w:eastAsia="en-US"/>
    </w:rPr>
  </w:style>
  <w:style w:type="paragraph" w:styleId="Revision">
    <w:name w:val="Revision"/>
    <w:hidden/>
    <w:uiPriority w:val="99"/>
    <w:semiHidden/>
    <w:rsid w:val="00FF434B"/>
    <w:rPr>
      <w:rFonts w:ascii="Arial" w:hAnsi="Arial"/>
      <w:sz w:val="28"/>
      <w:lang w:eastAsia="en-US"/>
    </w:rPr>
  </w:style>
  <w:style w:type="paragraph" w:styleId="TOC1">
    <w:name w:val="toc 1"/>
    <w:basedOn w:val="Normal"/>
    <w:next w:val="Normal"/>
    <w:autoRedefine/>
    <w:uiPriority w:val="39"/>
    <w:unhideWhenUsed/>
    <w:rsid w:val="00D4674C"/>
    <w:pPr>
      <w:tabs>
        <w:tab w:val="right" w:leader="dot" w:pos="9016"/>
      </w:tabs>
      <w:spacing w:after="100"/>
    </w:pPr>
  </w:style>
  <w:style w:type="paragraph" w:styleId="TOC2">
    <w:name w:val="toc 2"/>
    <w:basedOn w:val="Normal"/>
    <w:next w:val="Normal"/>
    <w:autoRedefine/>
    <w:uiPriority w:val="39"/>
    <w:unhideWhenUsed/>
    <w:rsid w:val="005E5521"/>
    <w:pPr>
      <w:tabs>
        <w:tab w:val="right" w:leader="dot" w:pos="9016"/>
      </w:tabs>
      <w:spacing w:after="100"/>
      <w:ind w:left="1000" w:hanging="280"/>
    </w:pPr>
  </w:style>
  <w:style w:type="paragraph" w:styleId="TOC3">
    <w:name w:val="toc 3"/>
    <w:basedOn w:val="Normal"/>
    <w:next w:val="Normal"/>
    <w:autoRedefine/>
    <w:uiPriority w:val="39"/>
    <w:unhideWhenUsed/>
    <w:rsid w:val="005E5521"/>
    <w:pPr>
      <w:tabs>
        <w:tab w:val="right" w:leader="dot" w:pos="9016"/>
      </w:tabs>
      <w:spacing w:after="100"/>
      <w:ind w:left="1000"/>
    </w:pPr>
    <w:rPr>
      <w:noProof/>
    </w:rPr>
  </w:style>
  <w:style w:type="paragraph" w:styleId="TOCHeading">
    <w:name w:val="TOC Heading"/>
    <w:basedOn w:val="Heading1"/>
    <w:next w:val="Normal"/>
    <w:uiPriority w:val="39"/>
    <w:unhideWhenUsed/>
    <w:qFormat/>
    <w:rsid w:val="00E511ED"/>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800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D4BAEE6CB5DD44B1E681B8526F89B2" ma:contentTypeVersion="8" ma:contentTypeDescription="Create a new document." ma:contentTypeScope="" ma:versionID="773ec44f17e8b3bb812e8f72877ffa5a">
  <xsd:schema xmlns:xsd="http://www.w3.org/2001/XMLSchema" xmlns:xs="http://www.w3.org/2001/XMLSchema" xmlns:p="http://schemas.microsoft.com/office/2006/metadata/properties" xmlns:ns2="fae345b2-99e3-4556-ae3e-0d7aff01b711" xmlns:ns3="ce0755c2-a059-4ab1-89a9-6a03ab3faaa4" targetNamespace="http://schemas.microsoft.com/office/2006/metadata/properties" ma:root="true" ma:fieldsID="8b06f897c1f815c8a425e4310356773d" ns2:_="" ns3:_="">
    <xsd:import namespace="fae345b2-99e3-4556-ae3e-0d7aff01b711"/>
    <xsd:import namespace="ce0755c2-a059-4ab1-89a9-6a03ab3fa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45b2-99e3-4556-ae3e-0d7aff01b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755c2-a059-4ab1-89a9-6a03ab3fa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0755c2-a059-4ab1-89a9-6a03ab3faaa4">
      <UserInfo>
        <DisplayName>Caireen Sutherland</DisplayName>
        <AccountId>12</AccountId>
        <AccountType/>
      </UserInfo>
      <UserInfo>
        <DisplayName>Robert Shilliday</DisplayName>
        <AccountId>50</AccountId>
        <AccountType/>
      </UserInfo>
      <UserInfo>
        <DisplayName>Amy Colvin</DisplayName>
        <AccountId>51</AccountId>
        <AccountType/>
      </UserInfo>
      <UserInfo>
        <DisplayName>Paula Beattie</DisplayName>
        <AccountId>52</AccountId>
        <AccountType/>
      </UserInfo>
      <UserInfo>
        <DisplayName>Rosaleen Dempsey</DisplayName>
        <AccountId>25</AccountId>
        <AccountType/>
      </UserInfo>
      <UserInfo>
        <DisplayName>Jane Sharp</DisplayName>
        <AccountId>35</AccountId>
        <AccountType/>
      </UserInfo>
    </SharedWithUsers>
  </documentManagement>
</p:properties>
</file>

<file path=customXml/itemProps1.xml><?xml version="1.0" encoding="utf-8"?>
<ds:datastoreItem xmlns:ds="http://schemas.openxmlformats.org/officeDocument/2006/customXml" ds:itemID="{3A812F20-0DA6-4AE9-9612-605AD8FC7C79}">
  <ds:schemaRefs>
    <ds:schemaRef ds:uri="http://schemas.microsoft.com/sharepoint/v3/contenttype/forms"/>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73B3645E-20B1-4DB7-B75F-FFE097E31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345b2-99e3-4556-ae3e-0d7aff01b711"/>
    <ds:schemaRef ds:uri="ce0755c2-a059-4ab1-89a9-6a03ab3fa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73EED-16C7-4F29-B852-9F32DDC0143C}">
  <ds:schemaRefs>
    <ds:schemaRef ds:uri="http://purl.org/dc/terms/"/>
    <ds:schemaRef ds:uri="ce0755c2-a059-4ab1-89a9-6a03ab3faaa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ae345b2-99e3-4556-ae3e-0d7aff01b7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Sharp</dc:creator>
  <cp:keywords/>
  <dc:description/>
  <cp:lastModifiedBy>Robin Kaye</cp:lastModifiedBy>
  <cp:revision>2</cp:revision>
  <dcterms:created xsi:type="dcterms:W3CDTF">2024-02-28T07:44:00Z</dcterms:created>
  <dcterms:modified xsi:type="dcterms:W3CDTF">2024-02-28T07:44:00Z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0x010100A2D4BAEE6CB5DD44B1E681B8526F89B2</vt:lpwstr>
  </property>
</Properties>
</file>